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45" w:rsidRPr="00AE7083" w:rsidRDefault="00F02C45" w:rsidP="00F02C45">
      <w:pPr>
        <w:rPr>
          <w:b/>
          <w:color w:val="000000" w:themeColor="text1"/>
        </w:rPr>
      </w:pPr>
      <w:r w:rsidRPr="00AE7083">
        <w:rPr>
          <w:b/>
          <w:color w:val="000000" w:themeColor="text1"/>
        </w:rPr>
        <w:t xml:space="preserve">UNIVERSITÉ </w:t>
      </w:r>
      <w:r>
        <w:rPr>
          <w:b/>
          <w:color w:val="000000" w:themeColor="text1"/>
        </w:rPr>
        <w:t xml:space="preserve">PARIS - </w:t>
      </w:r>
      <w:r w:rsidRPr="00AE7083">
        <w:rPr>
          <w:b/>
          <w:color w:val="000000" w:themeColor="text1"/>
        </w:rPr>
        <w:t>PANTHÉON-ASSAS</w:t>
      </w:r>
      <w:r w:rsidRPr="00AE7083">
        <w:rPr>
          <w:b/>
          <w:color w:val="000000" w:themeColor="text1"/>
        </w:rPr>
        <w:tab/>
      </w:r>
      <w:r w:rsidRPr="00AE7083">
        <w:rPr>
          <w:b/>
          <w:color w:val="000000" w:themeColor="text1"/>
        </w:rPr>
        <w:tab/>
        <w:t>Année universitaire 202</w:t>
      </w:r>
      <w:r>
        <w:rPr>
          <w:b/>
          <w:color w:val="000000" w:themeColor="text1"/>
        </w:rPr>
        <w:t>1</w:t>
      </w:r>
      <w:r w:rsidRPr="00AE7083">
        <w:rPr>
          <w:b/>
          <w:color w:val="000000" w:themeColor="text1"/>
        </w:rPr>
        <w:t>-2</w:t>
      </w:r>
      <w:r>
        <w:rPr>
          <w:b/>
          <w:color w:val="000000" w:themeColor="text1"/>
        </w:rPr>
        <w:t>2</w:t>
      </w:r>
    </w:p>
    <w:p w:rsidR="00F02C45" w:rsidRPr="00AE7083" w:rsidRDefault="00F02C45" w:rsidP="00F02C45">
      <w:pPr>
        <w:ind w:right="-962"/>
        <w:rPr>
          <w:b/>
          <w:color w:val="000000" w:themeColor="text1"/>
        </w:rPr>
      </w:pPr>
    </w:p>
    <w:p w:rsidR="00F02C45" w:rsidRPr="00AE7083" w:rsidRDefault="00F02C45" w:rsidP="00F02C45">
      <w:pPr>
        <w:ind w:right="-962"/>
        <w:rPr>
          <w:b/>
          <w:color w:val="000000" w:themeColor="text1"/>
        </w:rPr>
      </w:pPr>
      <w:r w:rsidRPr="00AE7083">
        <w:rPr>
          <w:b/>
          <w:color w:val="000000" w:themeColor="text1"/>
        </w:rPr>
        <w:t>Première année de la Licence en droit et en science politique</w:t>
      </w:r>
    </w:p>
    <w:p w:rsidR="00F02C45" w:rsidRPr="00AE7083" w:rsidRDefault="00F02C45" w:rsidP="00F02C45">
      <w:pPr>
        <w:ind w:right="-962"/>
        <w:rPr>
          <w:b/>
          <w:color w:val="000000" w:themeColor="text1"/>
        </w:rPr>
      </w:pPr>
    </w:p>
    <w:p w:rsidR="00F02C45" w:rsidRPr="00AE7083" w:rsidRDefault="00F02C45" w:rsidP="00F02C45">
      <w:pPr>
        <w:rPr>
          <w:color w:val="000000" w:themeColor="text1"/>
        </w:rPr>
      </w:pPr>
      <w:r w:rsidRPr="00AE7083">
        <w:rPr>
          <w:color w:val="000000" w:themeColor="text1"/>
        </w:rPr>
        <w:t>Cours de Monsieur le Professeur Olivier GOHIN</w:t>
      </w:r>
    </w:p>
    <w:p w:rsidR="00F02C45" w:rsidRPr="00AE7083" w:rsidRDefault="00F02C45" w:rsidP="00F02C45">
      <w:pPr>
        <w:rPr>
          <w:b/>
          <w:color w:val="000000" w:themeColor="text1"/>
        </w:rPr>
      </w:pPr>
    </w:p>
    <w:p w:rsidR="00F02C45" w:rsidRDefault="00F02C45" w:rsidP="00F02C45">
      <w:pPr>
        <w:rPr>
          <w:b/>
          <w:color w:val="000000" w:themeColor="text1"/>
          <w:sz w:val="28"/>
          <w:szCs w:val="28"/>
        </w:rPr>
      </w:pPr>
      <w:r w:rsidRPr="00AE7083">
        <w:rPr>
          <w:b/>
          <w:color w:val="000000" w:themeColor="text1"/>
          <w:sz w:val="28"/>
          <w:szCs w:val="28"/>
        </w:rPr>
        <w:t>DROIT CONSTITUTIONNEL I – équipe 2 (2062)</w:t>
      </w:r>
      <w:r>
        <w:rPr>
          <w:b/>
          <w:color w:val="000000" w:themeColor="text1"/>
          <w:sz w:val="28"/>
          <w:szCs w:val="28"/>
        </w:rPr>
        <w:t xml:space="preserve"> </w:t>
      </w:r>
    </w:p>
    <w:p w:rsidR="00F02C45" w:rsidRPr="00AE7083" w:rsidRDefault="00F02C45" w:rsidP="00F02C45">
      <w:pPr>
        <w:rPr>
          <w:b/>
          <w:color w:val="000000" w:themeColor="text1"/>
          <w:sz w:val="28"/>
          <w:szCs w:val="28"/>
        </w:rPr>
      </w:pPr>
    </w:p>
    <w:p w:rsidR="00F02C45" w:rsidRPr="00AE7083" w:rsidRDefault="00A80A0F" w:rsidP="00F02C45">
      <w:pPr>
        <w:rPr>
          <w:color w:val="000000" w:themeColor="text1"/>
        </w:rPr>
      </w:pPr>
      <w:r w:rsidRPr="001B4263">
        <w:rPr>
          <w:color w:val="000000" w:themeColor="text1"/>
        </w:rPr>
        <w:t xml:space="preserve">PARTIEL </w:t>
      </w:r>
      <w:r w:rsidRPr="00117E24">
        <w:rPr>
          <w:color w:val="000000" w:themeColor="text1"/>
        </w:rPr>
        <w:t xml:space="preserve">DE RATTRAPAGE de </w:t>
      </w:r>
      <w:r w:rsidR="005B3371">
        <w:rPr>
          <w:color w:val="000000" w:themeColor="text1"/>
        </w:rPr>
        <w:t>L</w:t>
      </w:r>
      <w:r w:rsidRPr="00117E24">
        <w:rPr>
          <w:color w:val="000000" w:themeColor="text1"/>
        </w:rPr>
        <w:t>’ÉTÉ 2022</w:t>
      </w:r>
      <w:r>
        <w:rPr>
          <w:color w:val="000000" w:themeColor="text1"/>
        </w:rPr>
        <w:t xml:space="preserve"> </w:t>
      </w:r>
      <w:r w:rsidR="00F02C45" w:rsidRPr="00AE7083">
        <w:rPr>
          <w:color w:val="000000" w:themeColor="text1"/>
        </w:rPr>
        <w:t>(1</w:t>
      </w:r>
      <w:r w:rsidR="00F02C45" w:rsidRPr="00AE7083">
        <w:rPr>
          <w:color w:val="000000" w:themeColor="text1"/>
          <w:vertAlign w:val="superscript"/>
        </w:rPr>
        <w:t>er</w:t>
      </w:r>
      <w:r w:rsidR="00F02C45" w:rsidRPr="00AE7083">
        <w:rPr>
          <w:color w:val="000000" w:themeColor="text1"/>
        </w:rPr>
        <w:t xml:space="preserve"> semestre – </w:t>
      </w:r>
      <w:r w:rsidR="00F02C45">
        <w:rPr>
          <w:color w:val="000000" w:themeColor="text1"/>
        </w:rPr>
        <w:t>2</w:t>
      </w:r>
      <w:r w:rsidR="00F02C45" w:rsidRPr="00F02C45">
        <w:rPr>
          <w:color w:val="000000" w:themeColor="text1"/>
          <w:vertAlign w:val="superscript"/>
        </w:rPr>
        <w:t>ème</w:t>
      </w:r>
      <w:r w:rsidR="00F02C45">
        <w:rPr>
          <w:color w:val="000000" w:themeColor="text1"/>
        </w:rPr>
        <w:t xml:space="preserve"> s</w:t>
      </w:r>
      <w:r w:rsidR="00F02C45" w:rsidRPr="00AE7083">
        <w:rPr>
          <w:color w:val="000000" w:themeColor="text1"/>
        </w:rPr>
        <w:t>ession)</w:t>
      </w:r>
    </w:p>
    <w:p w:rsidR="00F02C45" w:rsidRPr="00AE7083" w:rsidRDefault="00F02C45" w:rsidP="00F02C45">
      <w:pPr>
        <w:rPr>
          <w:b/>
          <w:color w:val="000000" w:themeColor="text1"/>
        </w:rPr>
      </w:pPr>
    </w:p>
    <w:p w:rsidR="00F02C45" w:rsidRPr="00AE7083" w:rsidRDefault="00F02C45" w:rsidP="00F02C45">
      <w:pPr>
        <w:rPr>
          <w:b/>
          <w:color w:val="000000" w:themeColor="text1"/>
        </w:rPr>
      </w:pPr>
      <w:r w:rsidRPr="00AE7083">
        <w:rPr>
          <w:b/>
          <w:color w:val="000000" w:themeColor="text1"/>
        </w:rPr>
        <w:t xml:space="preserve">Durée de l'épreuve : </w:t>
      </w:r>
      <w:r>
        <w:rPr>
          <w:b/>
          <w:color w:val="000000" w:themeColor="text1"/>
        </w:rPr>
        <w:t>3</w:t>
      </w:r>
      <w:r w:rsidRPr="00AE7083">
        <w:rPr>
          <w:b/>
          <w:color w:val="000000" w:themeColor="text1"/>
        </w:rPr>
        <w:t xml:space="preserve"> heures</w:t>
      </w:r>
    </w:p>
    <w:p w:rsidR="00F02C45" w:rsidRPr="00AE7083" w:rsidRDefault="00F02C45" w:rsidP="00F02C45">
      <w:pPr>
        <w:rPr>
          <w:b/>
          <w:color w:val="000000" w:themeColor="text1"/>
        </w:rPr>
      </w:pPr>
    </w:p>
    <w:p w:rsidR="00F02C45" w:rsidRPr="00AE7083" w:rsidRDefault="00F02C45" w:rsidP="00F02C45">
      <w:pPr>
        <w:rPr>
          <w:color w:val="000000" w:themeColor="text1"/>
        </w:rPr>
      </w:pPr>
      <w:r w:rsidRPr="00AE7083">
        <w:rPr>
          <w:color w:val="000000" w:themeColor="text1"/>
        </w:rPr>
        <w:t xml:space="preserve">Documents </w:t>
      </w:r>
      <w:r>
        <w:rPr>
          <w:color w:val="000000" w:themeColor="text1"/>
        </w:rPr>
        <w:t xml:space="preserve">et matériels </w:t>
      </w:r>
      <w:r w:rsidRPr="00AE7083">
        <w:rPr>
          <w:color w:val="000000" w:themeColor="text1"/>
        </w:rPr>
        <w:t xml:space="preserve">autorisés : aucun </w:t>
      </w:r>
    </w:p>
    <w:p w:rsidR="00F02C45" w:rsidRPr="00AE7083" w:rsidRDefault="00F02C45" w:rsidP="00F02C45">
      <w:pPr>
        <w:rPr>
          <w:b/>
          <w:color w:val="000000" w:themeColor="text1"/>
        </w:rPr>
      </w:pPr>
      <w:r w:rsidRPr="00AE7083">
        <w:rPr>
          <w:b/>
          <w:color w:val="000000" w:themeColor="text1"/>
        </w:rPr>
        <w:t>_____________________________________________________</w:t>
      </w:r>
    </w:p>
    <w:p w:rsidR="00F02C45" w:rsidRPr="00AE7083" w:rsidRDefault="00F02C45" w:rsidP="00F02C45">
      <w:pPr>
        <w:jc w:val="both"/>
        <w:rPr>
          <w:color w:val="000000" w:themeColor="text1"/>
        </w:rPr>
      </w:pPr>
    </w:p>
    <w:p w:rsidR="00F02C45" w:rsidRPr="00AE7083" w:rsidRDefault="00F02C45" w:rsidP="00F02C45">
      <w:pPr>
        <w:jc w:val="both"/>
        <w:rPr>
          <w:color w:val="000000" w:themeColor="text1"/>
        </w:rPr>
      </w:pPr>
      <w:r w:rsidRPr="00AE7083">
        <w:rPr>
          <w:color w:val="000000" w:themeColor="text1"/>
        </w:rPr>
        <w:t xml:space="preserve">Les étudiants traiteront, </w:t>
      </w:r>
      <w:r w:rsidRPr="00AE7083">
        <w:rPr>
          <w:color w:val="000000" w:themeColor="text1"/>
          <w:u w:val="single"/>
        </w:rPr>
        <w:t>au choix</w:t>
      </w:r>
      <w:r w:rsidRPr="00AE7083">
        <w:rPr>
          <w:color w:val="000000" w:themeColor="text1"/>
        </w:rPr>
        <w:t>, l'un des deux sujets suivants :</w:t>
      </w:r>
    </w:p>
    <w:p w:rsidR="00F02C45" w:rsidRPr="00AE7083" w:rsidRDefault="00F02C45" w:rsidP="00F02C45">
      <w:pPr>
        <w:shd w:val="clear" w:color="auto" w:fill="FFFFFF"/>
        <w:textAlignment w:val="baseline"/>
        <w:rPr>
          <w:b/>
          <w:color w:val="000000" w:themeColor="text1"/>
        </w:rPr>
      </w:pPr>
    </w:p>
    <w:p w:rsidR="00F02C45" w:rsidRPr="005B3371" w:rsidRDefault="00F02C45" w:rsidP="00F02C45">
      <w:pPr>
        <w:jc w:val="both"/>
        <w:rPr>
          <w:rFonts w:ascii="Verdana" w:hAnsi="Verdana"/>
          <w:color w:val="000000" w:themeColor="text1"/>
        </w:rPr>
      </w:pPr>
      <w:r w:rsidRPr="00AE7083">
        <w:rPr>
          <w:b/>
          <w:color w:val="000000" w:themeColor="text1"/>
        </w:rPr>
        <w:t>Sujet I </w:t>
      </w:r>
      <w:r w:rsidRPr="0000748D">
        <w:rPr>
          <w:color w:val="000000" w:themeColor="text1"/>
        </w:rPr>
        <w:t xml:space="preserve">: </w:t>
      </w:r>
      <w:r w:rsidRPr="005B3371">
        <w:rPr>
          <w:rFonts w:ascii="Verdana" w:hAnsi="Verdana"/>
          <w:color w:val="000000" w:themeColor="text1"/>
        </w:rPr>
        <w:t>Le bicaméralisme, en France, de 1795 à 1940</w:t>
      </w:r>
    </w:p>
    <w:p w:rsidR="00F02C45" w:rsidRPr="00AE7083" w:rsidRDefault="00F02C45" w:rsidP="00F02C45">
      <w:pPr>
        <w:jc w:val="both"/>
        <w:rPr>
          <w:color w:val="000000" w:themeColor="text1"/>
        </w:rPr>
      </w:pPr>
    </w:p>
    <w:p w:rsidR="000553F3" w:rsidRPr="00626DFC" w:rsidRDefault="00F02C45" w:rsidP="00F02C45">
      <w:pPr>
        <w:jc w:val="both"/>
        <w:rPr>
          <w:rFonts w:ascii="Century" w:hAnsi="Century"/>
          <w:color w:val="000000" w:themeColor="text1"/>
        </w:rPr>
      </w:pPr>
      <w:r w:rsidRPr="00834AA9">
        <w:rPr>
          <w:b/>
          <w:color w:val="000000" w:themeColor="text1"/>
        </w:rPr>
        <w:t xml:space="preserve">Sujet II : </w:t>
      </w:r>
      <w:r w:rsidRPr="00626DFC">
        <w:rPr>
          <w:rFonts w:ascii="Century" w:hAnsi="Century"/>
          <w:color w:val="000000" w:themeColor="text1"/>
        </w:rPr>
        <w:t>Commentez l’article 16 de la Déclaration des droits de l’homme et du citoyen en date du 26 août 1789</w:t>
      </w:r>
      <w:r w:rsidR="00D71F66" w:rsidRPr="00626DFC">
        <w:rPr>
          <w:rFonts w:ascii="Century" w:hAnsi="Century"/>
          <w:color w:val="000000" w:themeColor="text1"/>
        </w:rPr>
        <w:t> :</w:t>
      </w:r>
    </w:p>
    <w:p w:rsidR="00F02C45" w:rsidRPr="0069366F" w:rsidRDefault="00F02C45" w:rsidP="00F02C45">
      <w:pPr>
        <w:pStyle w:val="NormalWeb"/>
        <w:shd w:val="clear" w:color="auto" w:fill="FFFFFF"/>
        <w:spacing w:before="300" w:beforeAutospacing="0" w:after="300" w:afterAutospacing="0"/>
        <w:jc w:val="both"/>
        <w:rPr>
          <w:rFonts w:ascii="Century" w:hAnsi="Century"/>
          <w:color w:val="000000" w:themeColor="text1"/>
        </w:rPr>
      </w:pPr>
      <w:r w:rsidRPr="00626DFC">
        <w:rPr>
          <w:rFonts w:ascii="Century" w:hAnsi="Century"/>
          <w:color w:val="000000" w:themeColor="text1"/>
        </w:rPr>
        <w:t>Toute société</w:t>
      </w:r>
      <w:r w:rsidRPr="0069366F">
        <w:rPr>
          <w:rFonts w:ascii="Century" w:hAnsi="Century"/>
          <w:color w:val="000000" w:themeColor="text1"/>
        </w:rPr>
        <w:t xml:space="preserve"> dans laquelle la garantie des droits n'est pas assurée ni la séparation des pouvoirs déterminée, n'a point de Constitution</w:t>
      </w:r>
      <w:r w:rsidR="00643F47">
        <w:rPr>
          <w:rFonts w:ascii="Century" w:hAnsi="Century"/>
          <w:color w:val="000000" w:themeColor="text1"/>
        </w:rPr>
        <w:t>.</w:t>
      </w:r>
      <w:r w:rsidRPr="0069366F">
        <w:rPr>
          <w:rFonts w:ascii="Century" w:hAnsi="Century"/>
          <w:color w:val="000000" w:themeColor="text1"/>
        </w:rPr>
        <w:t> </w:t>
      </w:r>
    </w:p>
    <w:p w:rsidR="00643F47" w:rsidRDefault="00643F47" w:rsidP="00F02C45">
      <w:pPr>
        <w:pStyle w:val="NormalWeb"/>
        <w:shd w:val="clear" w:color="auto" w:fill="FFFFFF"/>
        <w:spacing w:before="300" w:beforeAutospacing="0" w:after="300" w:afterAutospacing="0"/>
        <w:jc w:val="both"/>
        <w:rPr>
          <w:rStyle w:val="lev"/>
          <w:rFonts w:ascii="Century" w:hAnsi="Century"/>
          <w:b w:val="0"/>
          <w:i/>
          <w:color w:val="000000" w:themeColor="text1"/>
        </w:rPr>
      </w:pPr>
      <w:r>
        <w:rPr>
          <w:rStyle w:val="lev"/>
          <w:rFonts w:ascii="Century" w:hAnsi="Century"/>
          <w:b w:val="0"/>
          <w:i/>
          <w:color w:val="000000" w:themeColor="text1"/>
        </w:rPr>
        <w:t>______</w:t>
      </w:r>
    </w:p>
    <w:p w:rsidR="0069366F" w:rsidRPr="005B3371" w:rsidRDefault="00F02C45" w:rsidP="005B3371">
      <w:pPr>
        <w:pStyle w:val="NormalWeb"/>
        <w:shd w:val="clear" w:color="auto" w:fill="FFFFFF"/>
        <w:spacing w:before="300" w:beforeAutospacing="0" w:after="300" w:afterAutospacing="0"/>
        <w:jc w:val="both"/>
        <w:rPr>
          <w:rStyle w:val="lev"/>
          <w:b w:val="0"/>
          <w:i/>
          <w:color w:val="000000" w:themeColor="text1"/>
        </w:rPr>
      </w:pPr>
      <w:r w:rsidRPr="005B3371">
        <w:rPr>
          <w:rStyle w:val="lev"/>
          <w:b w:val="0"/>
          <w:i/>
          <w:color w:val="000000" w:themeColor="text1"/>
        </w:rPr>
        <w:t xml:space="preserve">n. b. </w:t>
      </w:r>
      <w:r w:rsidR="0069366F" w:rsidRPr="005B3371">
        <w:rPr>
          <w:rStyle w:val="lev"/>
          <w:b w:val="0"/>
          <w:i/>
          <w:color w:val="000000" w:themeColor="text1"/>
        </w:rPr>
        <w:t>V</w:t>
      </w:r>
      <w:r w:rsidRPr="005B3371">
        <w:rPr>
          <w:rStyle w:val="lev"/>
          <w:b w:val="0"/>
          <w:i/>
          <w:color w:val="000000" w:themeColor="text1"/>
        </w:rPr>
        <w:t xml:space="preserve">otre commentaire devra intégrer </w:t>
      </w:r>
      <w:r w:rsidR="0069366F" w:rsidRPr="005B3371">
        <w:rPr>
          <w:rStyle w:val="lev"/>
          <w:b w:val="0"/>
          <w:i/>
          <w:color w:val="000000" w:themeColor="text1"/>
        </w:rPr>
        <w:t xml:space="preserve">et discuter cet extrait </w:t>
      </w:r>
      <w:r w:rsidRPr="005B3371">
        <w:rPr>
          <w:rStyle w:val="lev"/>
          <w:b w:val="0"/>
          <w:i/>
          <w:color w:val="000000" w:themeColor="text1"/>
        </w:rPr>
        <w:t xml:space="preserve"> de la décision CC, </w:t>
      </w:r>
      <w:r w:rsidR="0069366F" w:rsidRPr="005B3371">
        <w:rPr>
          <w:rStyle w:val="lev"/>
          <w:b w:val="0"/>
          <w:i/>
          <w:color w:val="000000" w:themeColor="text1"/>
        </w:rPr>
        <w:t xml:space="preserve">9 avril 1996, </w:t>
      </w:r>
      <w:r w:rsidR="0069366F" w:rsidRPr="005B3371">
        <w:rPr>
          <w:rStyle w:val="lev"/>
          <w:b w:val="0"/>
          <w:color w:val="000000" w:themeColor="text1"/>
        </w:rPr>
        <w:t>Premier statut d’autonomie de la Polynésie française</w:t>
      </w:r>
      <w:r w:rsidR="0069366F" w:rsidRPr="005B3371">
        <w:rPr>
          <w:rStyle w:val="lev"/>
          <w:b w:val="0"/>
          <w:i/>
          <w:color w:val="000000" w:themeColor="text1"/>
        </w:rPr>
        <w:t>, déc. n° 96-373 DC. Il ne saurait se limiter à ce</w:t>
      </w:r>
      <w:r w:rsidR="00626DFC">
        <w:rPr>
          <w:rStyle w:val="lev"/>
          <w:b w:val="0"/>
          <w:i/>
          <w:color w:val="000000" w:themeColor="text1"/>
        </w:rPr>
        <w:t xml:space="preserve"> seul </w:t>
      </w:r>
      <w:bookmarkStart w:id="0" w:name="_GoBack"/>
      <w:bookmarkEnd w:id="0"/>
      <w:r w:rsidR="005B3371" w:rsidRPr="005B3371">
        <w:rPr>
          <w:rStyle w:val="lev"/>
          <w:b w:val="0"/>
          <w:i/>
          <w:color w:val="000000" w:themeColor="text1"/>
        </w:rPr>
        <w:t>élément dans le traitement</w:t>
      </w:r>
      <w:r w:rsidR="0069366F" w:rsidRPr="005B3371">
        <w:rPr>
          <w:rStyle w:val="lev"/>
          <w:b w:val="0"/>
          <w:i/>
          <w:color w:val="000000" w:themeColor="text1"/>
        </w:rPr>
        <w:t xml:space="preserve"> du sujet</w:t>
      </w:r>
      <w:r w:rsidR="005B3371" w:rsidRPr="005B3371">
        <w:rPr>
          <w:rStyle w:val="lev"/>
          <w:b w:val="0"/>
          <w:i/>
          <w:color w:val="000000" w:themeColor="text1"/>
        </w:rPr>
        <w:t xml:space="preserve"> pratique</w:t>
      </w:r>
      <w:r w:rsidR="0069366F" w:rsidRPr="005B3371">
        <w:rPr>
          <w:rStyle w:val="lev"/>
          <w:b w:val="0"/>
          <w:i/>
          <w:color w:val="000000" w:themeColor="text1"/>
        </w:rPr>
        <w:t>.</w:t>
      </w:r>
    </w:p>
    <w:p w:rsidR="0069366F" w:rsidRPr="0069366F" w:rsidRDefault="0069366F" w:rsidP="0069366F">
      <w:pPr>
        <w:pStyle w:val="NormalWeb"/>
        <w:shd w:val="clear" w:color="auto" w:fill="FFFFFF"/>
        <w:spacing w:before="0" w:beforeAutospacing="0" w:after="300" w:afterAutospacing="0"/>
        <w:jc w:val="both"/>
        <w:rPr>
          <w:rFonts w:ascii="Century" w:hAnsi="Century"/>
          <w:i/>
          <w:color w:val="000000" w:themeColor="text1"/>
        </w:rPr>
      </w:pPr>
      <w:r w:rsidRPr="0069366F">
        <w:rPr>
          <w:rFonts w:ascii="Century" w:hAnsi="Century"/>
          <w:i/>
          <w:color w:val="000000" w:themeColor="text1"/>
        </w:rPr>
        <w:t>Le Conseil constitutionnel a été saisi, le 15 mars 1996, par le Premier ministre, conformément aux dispositions des articles 46 et 61, alinéa 1 de la Constitution, de la loi organique portant statut d'autonomie de la Polynésie française ;</w:t>
      </w:r>
    </w:p>
    <w:p w:rsidR="0069366F" w:rsidRPr="00643F47" w:rsidRDefault="0069366F" w:rsidP="0069366F">
      <w:pPr>
        <w:pStyle w:val="NormalWeb"/>
        <w:shd w:val="clear" w:color="auto" w:fill="FFFFFF"/>
        <w:spacing w:before="300" w:beforeAutospacing="0" w:after="300" w:afterAutospacing="0"/>
        <w:jc w:val="both"/>
        <w:rPr>
          <w:rFonts w:ascii="Century" w:hAnsi="Century"/>
          <w:b/>
          <w:i/>
          <w:color w:val="000000" w:themeColor="text1"/>
        </w:rPr>
      </w:pPr>
      <w:r w:rsidRPr="00643F47">
        <w:rPr>
          <w:rFonts w:ascii="Century" w:hAnsi="Century"/>
          <w:b/>
          <w:i/>
          <w:color w:val="000000" w:themeColor="text1"/>
        </w:rPr>
        <w:t>Le Conseil constitutionnel,</w:t>
      </w:r>
    </w:p>
    <w:p w:rsidR="00643F47" w:rsidRPr="00643F47" w:rsidRDefault="00643F47" w:rsidP="0069366F">
      <w:pPr>
        <w:pStyle w:val="NormalWeb"/>
        <w:shd w:val="clear" w:color="auto" w:fill="FFFFFF"/>
        <w:spacing w:before="300" w:beforeAutospacing="0" w:after="300" w:afterAutospacing="0"/>
        <w:jc w:val="both"/>
        <w:rPr>
          <w:rFonts w:ascii="Century" w:hAnsi="Century"/>
          <w:i/>
          <w:color w:val="000000" w:themeColor="text1"/>
        </w:rPr>
      </w:pPr>
      <w:r w:rsidRPr="00643F47">
        <w:rPr>
          <w:rFonts w:ascii="Century" w:hAnsi="Century"/>
          <w:i/>
          <w:color w:val="000000" w:themeColor="text1"/>
        </w:rPr>
        <w:t>(…)</w:t>
      </w:r>
    </w:p>
    <w:p w:rsidR="00F02C45" w:rsidRPr="0069366F" w:rsidRDefault="00F02C45" w:rsidP="00F02C45">
      <w:pPr>
        <w:pStyle w:val="NormalWeb"/>
        <w:shd w:val="clear" w:color="auto" w:fill="FFFFFF"/>
        <w:spacing w:before="300" w:beforeAutospacing="0" w:after="300" w:afterAutospacing="0"/>
        <w:jc w:val="both"/>
        <w:rPr>
          <w:rFonts w:ascii="Century" w:hAnsi="Century"/>
          <w:i/>
          <w:color w:val="000000" w:themeColor="text1"/>
        </w:rPr>
      </w:pPr>
      <w:r w:rsidRPr="0069366F">
        <w:rPr>
          <w:rStyle w:val="lev"/>
          <w:rFonts w:ascii="Century" w:hAnsi="Century"/>
          <w:i/>
          <w:color w:val="000000" w:themeColor="text1"/>
        </w:rPr>
        <w:t>- SUR LE TITRE VI RELATIF AU TRIBUNAL ADMINISTRATIF DE PAPEETE :</w:t>
      </w:r>
    </w:p>
    <w:p w:rsidR="00F02C45" w:rsidRPr="0069366F" w:rsidRDefault="00F02C45" w:rsidP="00F02C45">
      <w:pPr>
        <w:pStyle w:val="considerant"/>
        <w:shd w:val="clear" w:color="auto" w:fill="FFFFFF"/>
        <w:spacing w:before="300" w:beforeAutospacing="0" w:after="300" w:afterAutospacing="0"/>
        <w:jc w:val="both"/>
        <w:rPr>
          <w:rFonts w:ascii="Century" w:hAnsi="Century"/>
          <w:i/>
          <w:color w:val="000000" w:themeColor="text1"/>
        </w:rPr>
      </w:pPr>
      <w:r w:rsidRPr="0069366F">
        <w:rPr>
          <w:rStyle w:val="numero-considerant"/>
          <w:rFonts w:ascii="Century" w:hAnsi="Century"/>
          <w:b/>
          <w:bCs/>
          <w:i/>
          <w:color w:val="000000" w:themeColor="text1"/>
        </w:rPr>
        <w:t>83.</w:t>
      </w:r>
      <w:r w:rsidRPr="0069366F">
        <w:rPr>
          <w:rFonts w:ascii="Century" w:hAnsi="Century"/>
          <w:i/>
          <w:color w:val="000000" w:themeColor="text1"/>
        </w:rPr>
        <w:t xml:space="preserve"> Considérant qu'aux termes de l'article 16 de la Déclaration des </w:t>
      </w:r>
      <w:r w:rsidR="0069366F" w:rsidRPr="0069366F">
        <w:rPr>
          <w:rFonts w:ascii="Century" w:hAnsi="Century"/>
          <w:i/>
          <w:color w:val="000000" w:themeColor="text1"/>
        </w:rPr>
        <w:t>d</w:t>
      </w:r>
      <w:r w:rsidRPr="0069366F">
        <w:rPr>
          <w:rFonts w:ascii="Century" w:hAnsi="Century"/>
          <w:i/>
          <w:color w:val="000000" w:themeColor="text1"/>
        </w:rPr>
        <w:t>roits de l'</w:t>
      </w:r>
      <w:r w:rsidR="0069366F" w:rsidRPr="0069366F">
        <w:rPr>
          <w:rFonts w:ascii="Century" w:hAnsi="Century"/>
          <w:i/>
          <w:color w:val="000000" w:themeColor="text1"/>
        </w:rPr>
        <w:t>h</w:t>
      </w:r>
      <w:r w:rsidRPr="0069366F">
        <w:rPr>
          <w:rFonts w:ascii="Century" w:hAnsi="Century"/>
          <w:i/>
          <w:color w:val="000000" w:themeColor="text1"/>
        </w:rPr>
        <w:t xml:space="preserve">omme et du </w:t>
      </w:r>
      <w:r w:rsidR="0069366F" w:rsidRPr="0069366F">
        <w:rPr>
          <w:rFonts w:ascii="Century" w:hAnsi="Century"/>
          <w:i/>
          <w:color w:val="000000" w:themeColor="text1"/>
        </w:rPr>
        <w:t>c</w:t>
      </w:r>
      <w:r w:rsidRPr="0069366F">
        <w:rPr>
          <w:rFonts w:ascii="Century" w:hAnsi="Century"/>
          <w:i/>
          <w:color w:val="000000" w:themeColor="text1"/>
        </w:rPr>
        <w:t>itoyen</w:t>
      </w:r>
      <w:r w:rsidRPr="0069366F">
        <w:rPr>
          <w:rFonts w:ascii="Century" w:hAnsi="Century"/>
          <w:color w:val="000000" w:themeColor="text1"/>
        </w:rPr>
        <w:t xml:space="preserve"> : « Toute </w:t>
      </w:r>
      <w:r w:rsidR="0069366F" w:rsidRPr="0069366F">
        <w:rPr>
          <w:rFonts w:ascii="Century" w:hAnsi="Century"/>
          <w:color w:val="000000" w:themeColor="text1"/>
        </w:rPr>
        <w:t>s</w:t>
      </w:r>
      <w:r w:rsidRPr="0069366F">
        <w:rPr>
          <w:rFonts w:ascii="Century" w:hAnsi="Century"/>
          <w:color w:val="000000" w:themeColor="text1"/>
        </w:rPr>
        <w:t xml:space="preserve">ociété dans laquelle la garantie des </w:t>
      </w:r>
      <w:r w:rsidR="0069366F" w:rsidRPr="0069366F">
        <w:rPr>
          <w:rFonts w:ascii="Century" w:hAnsi="Century"/>
          <w:color w:val="000000" w:themeColor="text1"/>
        </w:rPr>
        <w:t>d</w:t>
      </w:r>
      <w:r w:rsidRPr="0069366F">
        <w:rPr>
          <w:rFonts w:ascii="Century" w:hAnsi="Century"/>
          <w:color w:val="000000" w:themeColor="text1"/>
        </w:rPr>
        <w:t xml:space="preserve">roits n'est pas assurée ni la séparation des </w:t>
      </w:r>
      <w:r w:rsidR="0069366F" w:rsidRPr="0069366F">
        <w:rPr>
          <w:rFonts w:ascii="Century" w:hAnsi="Century"/>
          <w:color w:val="000000" w:themeColor="text1"/>
        </w:rPr>
        <w:t>p</w:t>
      </w:r>
      <w:r w:rsidRPr="0069366F">
        <w:rPr>
          <w:rFonts w:ascii="Century" w:hAnsi="Century"/>
          <w:color w:val="000000" w:themeColor="text1"/>
        </w:rPr>
        <w:t xml:space="preserve">ouvoirs déterminée, n'a point de Constitution » ; </w:t>
      </w:r>
      <w:r w:rsidRPr="0069366F">
        <w:rPr>
          <w:rFonts w:ascii="Century" w:hAnsi="Century"/>
          <w:i/>
          <w:color w:val="000000" w:themeColor="text1"/>
        </w:rPr>
        <w:t>qu'il résulte de cette disposition qu'en principe</w:t>
      </w:r>
      <w:r w:rsidR="0069366F" w:rsidRPr="0069366F">
        <w:rPr>
          <w:rFonts w:ascii="Century" w:hAnsi="Century"/>
          <w:i/>
          <w:color w:val="000000" w:themeColor="text1"/>
        </w:rPr>
        <w:t>,</w:t>
      </w:r>
      <w:r w:rsidRPr="0069366F">
        <w:rPr>
          <w:rFonts w:ascii="Century" w:hAnsi="Century"/>
          <w:i/>
          <w:color w:val="000000" w:themeColor="text1"/>
        </w:rPr>
        <w:t xml:space="preserve"> il ne doit pas être porté d'atteintes substantielles au droit des personnes intéressées d'exercer un recours effectif devant une juridiction ;</w:t>
      </w:r>
    </w:p>
    <w:p w:rsidR="00F02C45" w:rsidRPr="0069366F" w:rsidRDefault="00F02C45" w:rsidP="00F02C45">
      <w:pPr>
        <w:pStyle w:val="considerant"/>
        <w:shd w:val="clear" w:color="auto" w:fill="FFFFFF"/>
        <w:spacing w:before="300" w:beforeAutospacing="0" w:after="300" w:afterAutospacing="0"/>
        <w:jc w:val="both"/>
        <w:rPr>
          <w:rFonts w:ascii="Century" w:hAnsi="Century"/>
          <w:color w:val="000000" w:themeColor="text1"/>
        </w:rPr>
      </w:pPr>
      <w:r w:rsidRPr="0069366F">
        <w:rPr>
          <w:rStyle w:val="numero-considerant"/>
          <w:rFonts w:ascii="Century" w:hAnsi="Century"/>
          <w:b/>
          <w:bCs/>
          <w:i/>
          <w:color w:val="000000" w:themeColor="text1"/>
        </w:rPr>
        <w:lastRenderedPageBreak/>
        <w:t>84.</w:t>
      </w:r>
      <w:r w:rsidRPr="0069366F">
        <w:rPr>
          <w:rFonts w:ascii="Century" w:hAnsi="Century"/>
          <w:i/>
          <w:color w:val="000000" w:themeColor="text1"/>
        </w:rPr>
        <w:t> Considérant qu'aux termes du 1</w:t>
      </w:r>
      <w:r w:rsidRPr="0069366F">
        <w:rPr>
          <w:rFonts w:ascii="Century" w:hAnsi="Century"/>
          <w:i/>
          <w:color w:val="000000" w:themeColor="text1"/>
          <w:vertAlign w:val="superscript"/>
        </w:rPr>
        <w:t>er</w:t>
      </w:r>
      <w:r w:rsidRPr="0069366F">
        <w:rPr>
          <w:rFonts w:ascii="Century" w:hAnsi="Century"/>
          <w:i/>
          <w:color w:val="000000" w:themeColor="text1"/>
        </w:rPr>
        <w:t> alinéa de l'article 113 :</w:t>
      </w:r>
      <w:r w:rsidRPr="0069366F">
        <w:rPr>
          <w:rFonts w:ascii="Century" w:hAnsi="Century"/>
          <w:color w:val="000000" w:themeColor="text1"/>
        </w:rPr>
        <w:t xml:space="preserve"> « Sans préjudice du recours pour excès de pouvoir dirigé contre les délibérations de l'assemblée de la Polynésie française ou de sa commission permanente qui demeure, quant à sa recevabilité, régi par le droit commun, le recours pour excès de pouvoir formé contre les actes pris en application de ces délibérations doit, à peine de forclusion, avoir été introduit dans le délai de quatre mois suivant la publication de la délibération attaquée, lorsque la solution du litige conduit à apprécier s'il a été fait par ces délibérations une exacte application de la répartition des compétences entre l'État, le territoire et les co</w:t>
      </w:r>
      <w:r w:rsidRPr="00643F47">
        <w:rPr>
          <w:rFonts w:ascii="Century" w:hAnsi="Century"/>
          <w:color w:val="000000" w:themeColor="text1"/>
        </w:rPr>
        <w:t>mmunes </w:t>
      </w:r>
      <w:r w:rsidRPr="0069366F">
        <w:rPr>
          <w:rFonts w:ascii="Century" w:hAnsi="Century"/>
          <w:color w:val="000000" w:themeColor="text1"/>
        </w:rPr>
        <w:t>» ;</w:t>
      </w:r>
    </w:p>
    <w:p w:rsidR="00F02C45" w:rsidRDefault="00F02C45" w:rsidP="00F02C45">
      <w:pPr>
        <w:pStyle w:val="considerant"/>
        <w:shd w:val="clear" w:color="auto" w:fill="FFFFFF"/>
        <w:spacing w:before="300" w:beforeAutospacing="0" w:after="300" w:afterAutospacing="0"/>
        <w:jc w:val="both"/>
        <w:rPr>
          <w:rFonts w:ascii="Century" w:hAnsi="Century"/>
          <w:i/>
          <w:color w:val="000000" w:themeColor="text1"/>
        </w:rPr>
      </w:pPr>
      <w:r w:rsidRPr="0069366F">
        <w:rPr>
          <w:rStyle w:val="numero-considerant"/>
          <w:rFonts w:ascii="Century" w:hAnsi="Century"/>
          <w:b/>
          <w:bCs/>
          <w:i/>
          <w:color w:val="000000" w:themeColor="text1"/>
        </w:rPr>
        <w:t>85.</w:t>
      </w:r>
      <w:r w:rsidRPr="0069366F">
        <w:rPr>
          <w:rFonts w:ascii="Century" w:hAnsi="Century"/>
          <w:i/>
          <w:color w:val="000000" w:themeColor="text1"/>
        </w:rPr>
        <w:t> Considérant que cette disposition a pour effet de priver de tout droit au recours devant le juge de l'excès de pouvoir la personne qui entend contester la légalité d'un acte pris en application d'une délibération de l'assemblée territoriale, plus de quatre mois après la publication de cette délibération, lorsque la question à juger porte sur la répartition des compétences entre l'État, le territoire et les communes ; qu'eu égard à l'importance qui s'attache au respect de la répartition des compétences entre ces autorités, le souci du législateur de renforcer la sécurité juridique des décisions de l'assemblée ne saurait justifier que soit portée une atteinte aussi substantielle au droit à un recours juridictionnel ; que</w:t>
      </w:r>
      <w:r w:rsidR="00643F47">
        <w:rPr>
          <w:rFonts w:ascii="Century" w:hAnsi="Century"/>
          <w:i/>
          <w:color w:val="000000" w:themeColor="text1"/>
        </w:rPr>
        <w:t>,</w:t>
      </w:r>
      <w:r w:rsidRPr="0069366F">
        <w:rPr>
          <w:rFonts w:ascii="Century" w:hAnsi="Century"/>
          <w:i/>
          <w:color w:val="000000" w:themeColor="text1"/>
        </w:rPr>
        <w:t xml:space="preserve"> dès lors</w:t>
      </w:r>
      <w:r w:rsidR="00643F47">
        <w:rPr>
          <w:rFonts w:ascii="Century" w:hAnsi="Century"/>
          <w:i/>
          <w:color w:val="000000" w:themeColor="text1"/>
        </w:rPr>
        <w:t>,</w:t>
      </w:r>
      <w:r w:rsidRPr="0069366F">
        <w:rPr>
          <w:rFonts w:ascii="Century" w:hAnsi="Century"/>
          <w:i/>
          <w:color w:val="000000" w:themeColor="text1"/>
        </w:rPr>
        <w:t xml:space="preserve"> le 1</w:t>
      </w:r>
      <w:r w:rsidRPr="0069366F">
        <w:rPr>
          <w:rFonts w:ascii="Century" w:hAnsi="Century"/>
          <w:i/>
          <w:color w:val="000000" w:themeColor="text1"/>
          <w:vertAlign w:val="superscript"/>
        </w:rPr>
        <w:t>er</w:t>
      </w:r>
      <w:r w:rsidRPr="0069366F">
        <w:rPr>
          <w:rFonts w:ascii="Century" w:hAnsi="Century"/>
          <w:i/>
          <w:color w:val="000000" w:themeColor="text1"/>
        </w:rPr>
        <w:t> alinéa de l'article 113 est contraire à la Constitution ;</w:t>
      </w:r>
    </w:p>
    <w:p w:rsidR="0069366F" w:rsidRPr="005B3371" w:rsidRDefault="00643F47" w:rsidP="005B3371">
      <w:pPr>
        <w:pStyle w:val="considerant"/>
        <w:shd w:val="clear" w:color="auto" w:fill="FFFFFF"/>
        <w:spacing w:before="300" w:beforeAutospacing="0" w:after="300" w:afterAutospacing="0"/>
        <w:jc w:val="both"/>
        <w:rPr>
          <w:rFonts w:ascii="Century" w:hAnsi="Century"/>
          <w:i/>
          <w:color w:val="000000" w:themeColor="text1"/>
        </w:rPr>
      </w:pPr>
      <w:r w:rsidRPr="00643F47">
        <w:rPr>
          <w:rFonts w:ascii="Century" w:hAnsi="Century"/>
          <w:i/>
          <w:color w:val="000000" w:themeColor="text1"/>
        </w:rPr>
        <w:t>(…)</w:t>
      </w:r>
    </w:p>
    <w:p w:rsidR="00F02C45" w:rsidRPr="0069366F" w:rsidRDefault="00F02C45" w:rsidP="00F02C45">
      <w:pPr>
        <w:jc w:val="both"/>
        <w:rPr>
          <w:rFonts w:ascii="Century" w:hAnsi="Century"/>
          <w:color w:val="000000" w:themeColor="text1"/>
        </w:rPr>
      </w:pPr>
    </w:p>
    <w:p w:rsidR="00F02C45" w:rsidRDefault="00F02C45" w:rsidP="00F02C45"/>
    <w:sectPr w:rsidR="00F02C45" w:rsidSect="00D71F66">
      <w:headerReference w:type="even" r:id="rId6"/>
      <w:headerReference w:type="default" r:id="rId7"/>
      <w:footerReference w:type="even" r:id="rId8"/>
      <w:footerReference w:type="default" r:id="rId9"/>
      <w:headerReference w:type="first" r:id="rId10"/>
      <w:footerReference w:type="first" r:id="rId11"/>
      <w:pgSz w:w="11910" w:h="16840"/>
      <w:pgMar w:top="1418" w:right="1418" w:bottom="1418" w:left="1418" w:header="567"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A11" w:rsidRDefault="00DD1A11" w:rsidP="00D71F66">
      <w:r>
        <w:separator/>
      </w:r>
    </w:p>
  </w:endnote>
  <w:endnote w:type="continuationSeparator" w:id="0">
    <w:p w:rsidR="00DD1A11" w:rsidRDefault="00DD1A11" w:rsidP="00D7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66" w:rsidRDefault="00D71F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66" w:rsidRDefault="00D71F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66" w:rsidRDefault="00D71F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A11" w:rsidRDefault="00DD1A11" w:rsidP="00D71F66">
      <w:r>
        <w:separator/>
      </w:r>
    </w:p>
  </w:footnote>
  <w:footnote w:type="continuationSeparator" w:id="0">
    <w:p w:rsidR="00DD1A11" w:rsidRDefault="00DD1A11" w:rsidP="00D7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8553886"/>
      <w:docPartObj>
        <w:docPartGallery w:val="Page Numbers (Top of Page)"/>
        <w:docPartUnique/>
      </w:docPartObj>
    </w:sdtPr>
    <w:sdtEndPr>
      <w:rPr>
        <w:rStyle w:val="Numrodepage"/>
      </w:rPr>
    </w:sdtEndPr>
    <w:sdtContent>
      <w:p w:rsidR="00D71F66" w:rsidRDefault="00D71F66" w:rsidP="00E4268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71F66" w:rsidRDefault="00D71F66" w:rsidP="00D71F6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56134488"/>
      <w:docPartObj>
        <w:docPartGallery w:val="Page Numbers (Top of Page)"/>
        <w:docPartUnique/>
      </w:docPartObj>
    </w:sdtPr>
    <w:sdtEndPr>
      <w:rPr>
        <w:rStyle w:val="Numrodepage"/>
      </w:rPr>
    </w:sdtEndPr>
    <w:sdtContent>
      <w:p w:rsidR="00D71F66" w:rsidRDefault="00D71F66" w:rsidP="00E4268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D71F66" w:rsidRDefault="00D71F66" w:rsidP="00D71F66">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66" w:rsidRDefault="00D71F6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45"/>
    <w:rsid w:val="00057F5F"/>
    <w:rsid w:val="00103700"/>
    <w:rsid w:val="00117AFE"/>
    <w:rsid w:val="001C5950"/>
    <w:rsid w:val="002E4347"/>
    <w:rsid w:val="003F766E"/>
    <w:rsid w:val="00466E1C"/>
    <w:rsid w:val="00495B0B"/>
    <w:rsid w:val="004D5AFB"/>
    <w:rsid w:val="00580758"/>
    <w:rsid w:val="00593380"/>
    <w:rsid w:val="005B3371"/>
    <w:rsid w:val="00626DFC"/>
    <w:rsid w:val="00643F47"/>
    <w:rsid w:val="0069366F"/>
    <w:rsid w:val="006E316C"/>
    <w:rsid w:val="00772C3E"/>
    <w:rsid w:val="00822D98"/>
    <w:rsid w:val="00924F4F"/>
    <w:rsid w:val="0094786D"/>
    <w:rsid w:val="009A3C3D"/>
    <w:rsid w:val="00A80A0F"/>
    <w:rsid w:val="00B701EB"/>
    <w:rsid w:val="00BE289F"/>
    <w:rsid w:val="00D71F66"/>
    <w:rsid w:val="00DD1A11"/>
    <w:rsid w:val="00DF129E"/>
    <w:rsid w:val="00E05EBF"/>
    <w:rsid w:val="00ED1EA6"/>
    <w:rsid w:val="00F02C45"/>
    <w:rsid w:val="00F66DB1"/>
    <w:rsid w:val="00F7142B"/>
    <w:rsid w:val="00FB4D6F"/>
    <w:rsid w:val="00FC3780"/>
    <w:rsid w:val="00FF7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61AAC3"/>
  <w14:defaultImageDpi w14:val="32767"/>
  <w15:chartTrackingRefBased/>
  <w15:docId w15:val="{7A043908-9DD2-9D4A-ACBC-6ABF0C90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C45"/>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C45"/>
    <w:pPr>
      <w:spacing w:before="100" w:beforeAutospacing="1" w:after="100" w:afterAutospacing="1"/>
    </w:pPr>
  </w:style>
  <w:style w:type="character" w:styleId="lev">
    <w:name w:val="Strong"/>
    <w:basedOn w:val="Policepardfaut"/>
    <w:uiPriority w:val="22"/>
    <w:qFormat/>
    <w:rsid w:val="00F02C45"/>
    <w:rPr>
      <w:b/>
      <w:bCs/>
    </w:rPr>
  </w:style>
  <w:style w:type="paragraph" w:customStyle="1" w:styleId="considerant">
    <w:name w:val="considerant"/>
    <w:basedOn w:val="Normal"/>
    <w:rsid w:val="00F02C45"/>
    <w:pPr>
      <w:spacing w:before="100" w:beforeAutospacing="1" w:after="100" w:afterAutospacing="1"/>
    </w:pPr>
  </w:style>
  <w:style w:type="character" w:customStyle="1" w:styleId="numero-considerant">
    <w:name w:val="numero-considerant"/>
    <w:basedOn w:val="Policepardfaut"/>
    <w:rsid w:val="00F02C45"/>
  </w:style>
  <w:style w:type="paragraph" w:styleId="En-tte">
    <w:name w:val="header"/>
    <w:basedOn w:val="Normal"/>
    <w:link w:val="En-tteCar"/>
    <w:uiPriority w:val="99"/>
    <w:unhideWhenUsed/>
    <w:rsid w:val="00D71F66"/>
    <w:pPr>
      <w:tabs>
        <w:tab w:val="center" w:pos="4536"/>
        <w:tab w:val="right" w:pos="9072"/>
      </w:tabs>
    </w:pPr>
  </w:style>
  <w:style w:type="character" w:customStyle="1" w:styleId="En-tteCar">
    <w:name w:val="En-tête Car"/>
    <w:basedOn w:val="Policepardfaut"/>
    <w:link w:val="En-tte"/>
    <w:uiPriority w:val="99"/>
    <w:rsid w:val="00D71F66"/>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D71F66"/>
  </w:style>
  <w:style w:type="paragraph" w:styleId="Pieddepage">
    <w:name w:val="footer"/>
    <w:basedOn w:val="Normal"/>
    <w:link w:val="PieddepageCar"/>
    <w:uiPriority w:val="99"/>
    <w:unhideWhenUsed/>
    <w:rsid w:val="00D71F66"/>
    <w:pPr>
      <w:tabs>
        <w:tab w:val="center" w:pos="4536"/>
        <w:tab w:val="right" w:pos="9072"/>
      </w:tabs>
    </w:pPr>
  </w:style>
  <w:style w:type="character" w:customStyle="1" w:styleId="PieddepageCar">
    <w:name w:val="Pied de page Car"/>
    <w:basedOn w:val="Policepardfaut"/>
    <w:link w:val="Pieddepage"/>
    <w:uiPriority w:val="99"/>
    <w:rsid w:val="00D71F66"/>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4005">
      <w:bodyDiv w:val="1"/>
      <w:marLeft w:val="0"/>
      <w:marRight w:val="0"/>
      <w:marTop w:val="0"/>
      <w:marBottom w:val="0"/>
      <w:divBdr>
        <w:top w:val="none" w:sz="0" w:space="0" w:color="auto"/>
        <w:left w:val="none" w:sz="0" w:space="0" w:color="auto"/>
        <w:bottom w:val="none" w:sz="0" w:space="0" w:color="auto"/>
        <w:right w:val="none" w:sz="0" w:space="0" w:color="auto"/>
      </w:divBdr>
    </w:div>
    <w:div w:id="225796614">
      <w:bodyDiv w:val="1"/>
      <w:marLeft w:val="0"/>
      <w:marRight w:val="0"/>
      <w:marTop w:val="0"/>
      <w:marBottom w:val="0"/>
      <w:divBdr>
        <w:top w:val="none" w:sz="0" w:space="0" w:color="auto"/>
        <w:left w:val="none" w:sz="0" w:space="0" w:color="auto"/>
        <w:bottom w:val="none" w:sz="0" w:space="0" w:color="auto"/>
        <w:right w:val="none" w:sz="0" w:space="0" w:color="auto"/>
      </w:divBdr>
    </w:div>
    <w:div w:id="360791335">
      <w:bodyDiv w:val="1"/>
      <w:marLeft w:val="0"/>
      <w:marRight w:val="0"/>
      <w:marTop w:val="0"/>
      <w:marBottom w:val="0"/>
      <w:divBdr>
        <w:top w:val="none" w:sz="0" w:space="0" w:color="auto"/>
        <w:left w:val="none" w:sz="0" w:space="0" w:color="auto"/>
        <w:bottom w:val="none" w:sz="0" w:space="0" w:color="auto"/>
        <w:right w:val="none" w:sz="0" w:space="0" w:color="auto"/>
      </w:divBdr>
    </w:div>
    <w:div w:id="15748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GOHIN</dc:creator>
  <cp:keywords/>
  <dc:description/>
  <cp:lastModifiedBy>Olivier GOHIN</cp:lastModifiedBy>
  <cp:revision>6</cp:revision>
  <dcterms:created xsi:type="dcterms:W3CDTF">2022-05-29T07:31:00Z</dcterms:created>
  <dcterms:modified xsi:type="dcterms:W3CDTF">2022-05-30T07:03:00Z</dcterms:modified>
</cp:coreProperties>
</file>