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FFC" w:rsidRPr="005F2170" w:rsidRDefault="00830FFC" w:rsidP="00830FFC">
      <w:pPr>
        <w:jc w:val="center"/>
        <w:rPr>
          <w:rFonts w:ascii="Times New Roman" w:hAnsi="Times New Roman" w:cs="Times New Roman"/>
          <w:b/>
        </w:rPr>
      </w:pPr>
      <w:bookmarkStart w:id="0" w:name="_GoBack"/>
      <w:bookmarkEnd w:id="0"/>
      <w:r w:rsidRPr="005F2170">
        <w:rPr>
          <w:rFonts w:ascii="Times New Roman" w:hAnsi="Times New Roman" w:cs="Times New Roman"/>
          <w:b/>
        </w:rPr>
        <w:t>UNIVERSITE PANTHEON-ASSAS</w:t>
      </w:r>
    </w:p>
    <w:p w:rsidR="00830FFC" w:rsidRPr="005F2170" w:rsidRDefault="00830FFC" w:rsidP="00830FFC">
      <w:pPr>
        <w:jc w:val="center"/>
        <w:rPr>
          <w:rFonts w:ascii="Times New Roman" w:hAnsi="Times New Roman" w:cs="Times New Roman"/>
          <w:b/>
        </w:rPr>
      </w:pPr>
    </w:p>
    <w:p w:rsidR="00830FFC" w:rsidRPr="005F2170" w:rsidRDefault="00830FFC" w:rsidP="00830FFC">
      <w:pPr>
        <w:jc w:val="center"/>
        <w:rPr>
          <w:rFonts w:ascii="Times New Roman" w:hAnsi="Times New Roman" w:cs="Times New Roman"/>
          <w:b/>
        </w:rPr>
      </w:pPr>
      <w:r w:rsidRPr="005F2170">
        <w:rPr>
          <w:rFonts w:ascii="Times New Roman" w:hAnsi="Times New Roman" w:cs="Times New Roman"/>
          <w:b/>
        </w:rPr>
        <w:t>Première année de Master Droit</w:t>
      </w:r>
    </w:p>
    <w:p w:rsidR="00830FFC" w:rsidRPr="005F2170" w:rsidRDefault="00830FFC" w:rsidP="00830FFC">
      <w:pPr>
        <w:jc w:val="center"/>
        <w:rPr>
          <w:rFonts w:ascii="Times New Roman" w:hAnsi="Times New Roman" w:cs="Times New Roman"/>
          <w:b/>
        </w:rPr>
      </w:pPr>
    </w:p>
    <w:p w:rsidR="00830FFC" w:rsidRPr="005F2170" w:rsidRDefault="00830FFC" w:rsidP="00830FFC">
      <w:pPr>
        <w:jc w:val="center"/>
        <w:rPr>
          <w:rFonts w:ascii="Times New Roman" w:hAnsi="Times New Roman" w:cs="Times New Roman"/>
          <w:b/>
        </w:rPr>
      </w:pPr>
      <w:r w:rsidRPr="005F2170">
        <w:rPr>
          <w:rFonts w:ascii="Times New Roman" w:hAnsi="Times New Roman" w:cs="Times New Roman"/>
          <w:b/>
        </w:rPr>
        <w:t>Droit de la construction (</w:t>
      </w:r>
      <w:r>
        <w:rPr>
          <w:rFonts w:ascii="Times New Roman" w:hAnsi="Times New Roman" w:cs="Times New Roman"/>
          <w:b/>
        </w:rPr>
        <w:t>1144</w:t>
      </w:r>
      <w:r w:rsidRPr="005F2170">
        <w:rPr>
          <w:rFonts w:ascii="Times New Roman" w:hAnsi="Times New Roman" w:cs="Times New Roman"/>
          <w:b/>
        </w:rPr>
        <w:t>)</w:t>
      </w:r>
    </w:p>
    <w:p w:rsidR="00830FFC" w:rsidRPr="005F2170" w:rsidRDefault="00830FFC" w:rsidP="00830FFC">
      <w:pPr>
        <w:rPr>
          <w:rFonts w:ascii="Times New Roman" w:hAnsi="Times New Roman" w:cs="Times New Roman"/>
        </w:rPr>
      </w:pPr>
    </w:p>
    <w:p w:rsidR="00830FFC" w:rsidRPr="005F2170" w:rsidRDefault="00830FFC" w:rsidP="00830FFC">
      <w:pPr>
        <w:jc w:val="center"/>
        <w:rPr>
          <w:rFonts w:ascii="Times New Roman" w:hAnsi="Times New Roman" w:cs="Times New Roman"/>
          <w:b/>
        </w:rPr>
      </w:pPr>
      <w:r w:rsidRPr="005F2170">
        <w:rPr>
          <w:rFonts w:ascii="Times New Roman" w:hAnsi="Times New Roman" w:cs="Times New Roman"/>
          <w:b/>
        </w:rPr>
        <w:t xml:space="preserve">Session de </w:t>
      </w:r>
      <w:r>
        <w:rPr>
          <w:rFonts w:ascii="Times New Roman" w:hAnsi="Times New Roman" w:cs="Times New Roman"/>
          <w:b/>
        </w:rPr>
        <w:t xml:space="preserve"> septembre 2018</w:t>
      </w:r>
    </w:p>
    <w:p w:rsidR="00830FFC" w:rsidRDefault="00830FFC" w:rsidP="00830FFC">
      <w:pPr>
        <w:rPr>
          <w:rFonts w:ascii="Times New Roman" w:hAnsi="Times New Roman" w:cs="Times New Roman"/>
        </w:rPr>
      </w:pPr>
    </w:p>
    <w:p w:rsidR="00830FFC" w:rsidRPr="005F2170" w:rsidRDefault="00830FFC" w:rsidP="00830FFC">
      <w:pPr>
        <w:rPr>
          <w:rFonts w:ascii="Times New Roman" w:hAnsi="Times New Roman" w:cs="Times New Roman"/>
          <w:b/>
        </w:rPr>
      </w:pPr>
      <w:r w:rsidRPr="005F2170">
        <w:rPr>
          <w:rFonts w:ascii="Times New Roman" w:hAnsi="Times New Roman" w:cs="Times New Roman"/>
          <w:b/>
        </w:rPr>
        <w:t>Traitez l’un des sujets suivants :</w:t>
      </w:r>
    </w:p>
    <w:p w:rsidR="00830FFC" w:rsidRPr="005F2170" w:rsidRDefault="00830FFC" w:rsidP="00830FFC">
      <w:pPr>
        <w:rPr>
          <w:rFonts w:ascii="Times New Roman" w:hAnsi="Times New Roman" w:cs="Times New Roman"/>
        </w:rPr>
      </w:pPr>
    </w:p>
    <w:p w:rsidR="00830FFC" w:rsidRDefault="00830FFC" w:rsidP="00830FFC">
      <w:pPr>
        <w:rPr>
          <w:rFonts w:ascii="Times New Roman" w:hAnsi="Times New Roman" w:cs="Times New Roman"/>
        </w:rPr>
      </w:pPr>
    </w:p>
    <w:p w:rsidR="00830FFC" w:rsidRPr="005F2170" w:rsidRDefault="00830FFC" w:rsidP="00830FFC">
      <w:pPr>
        <w:rPr>
          <w:rFonts w:ascii="Times New Roman" w:hAnsi="Times New Roman" w:cs="Times New Roman"/>
          <w:b/>
        </w:rPr>
      </w:pPr>
      <w:r w:rsidRPr="005F2170">
        <w:rPr>
          <w:rFonts w:ascii="Times New Roman" w:hAnsi="Times New Roman" w:cs="Times New Roman"/>
          <w:b/>
        </w:rPr>
        <w:t>1</w:t>
      </w:r>
      <w:r w:rsidRPr="005F2170">
        <w:rPr>
          <w:rFonts w:ascii="Times New Roman" w:hAnsi="Times New Roman" w:cs="Times New Roman"/>
          <w:b/>
          <w:vertAlign w:val="superscript"/>
        </w:rPr>
        <w:t>er</w:t>
      </w:r>
      <w:r w:rsidRPr="005F2170">
        <w:rPr>
          <w:rFonts w:ascii="Times New Roman" w:hAnsi="Times New Roman" w:cs="Times New Roman"/>
          <w:b/>
        </w:rPr>
        <w:t xml:space="preserve"> sujet : Dissertation</w:t>
      </w:r>
    </w:p>
    <w:p w:rsidR="00830FFC" w:rsidRPr="005F2170" w:rsidRDefault="00830FFC" w:rsidP="00830FFC">
      <w:pPr>
        <w:rPr>
          <w:rFonts w:ascii="Times New Roman" w:hAnsi="Times New Roman" w:cs="Times New Roman"/>
        </w:rPr>
      </w:pPr>
    </w:p>
    <w:p w:rsidR="00830FFC" w:rsidRPr="005F2170" w:rsidRDefault="00830FFC" w:rsidP="00830FFC">
      <w:pPr>
        <w:rPr>
          <w:rFonts w:ascii="Times New Roman" w:hAnsi="Times New Roman" w:cs="Times New Roman"/>
        </w:rPr>
      </w:pPr>
      <w:r>
        <w:rPr>
          <w:rFonts w:ascii="Times New Roman" w:hAnsi="Times New Roman" w:cs="Times New Roman"/>
        </w:rPr>
        <w:t>Comparez la vente d'immeuble à construire et la vente d'immeubles à rénover.</w:t>
      </w:r>
    </w:p>
    <w:p w:rsidR="00830FFC" w:rsidRPr="005F2170" w:rsidRDefault="00830FFC" w:rsidP="00830FFC">
      <w:pPr>
        <w:rPr>
          <w:rFonts w:ascii="Times New Roman" w:hAnsi="Times New Roman" w:cs="Times New Roman"/>
        </w:rPr>
      </w:pPr>
    </w:p>
    <w:p w:rsidR="00830FFC" w:rsidRDefault="00830FFC" w:rsidP="00830FFC">
      <w:pPr>
        <w:rPr>
          <w:rFonts w:ascii="Times New Roman" w:hAnsi="Times New Roman" w:cs="Times New Roman"/>
        </w:rPr>
      </w:pPr>
    </w:p>
    <w:p w:rsidR="00830FFC" w:rsidRDefault="00830FFC" w:rsidP="00830FFC">
      <w:pPr>
        <w:rPr>
          <w:rFonts w:ascii="Times New Roman" w:hAnsi="Times New Roman" w:cs="Times New Roman"/>
          <w:b/>
        </w:rPr>
      </w:pPr>
      <w:r w:rsidRPr="005F2170">
        <w:rPr>
          <w:rFonts w:ascii="Times New Roman" w:hAnsi="Times New Roman" w:cs="Times New Roman"/>
          <w:b/>
        </w:rPr>
        <w:t>2</w:t>
      </w:r>
      <w:r w:rsidRPr="005F2170">
        <w:rPr>
          <w:rFonts w:ascii="Times New Roman" w:hAnsi="Times New Roman" w:cs="Times New Roman"/>
          <w:b/>
          <w:vertAlign w:val="superscript"/>
        </w:rPr>
        <w:t>ème</w:t>
      </w:r>
      <w:r w:rsidRPr="005F2170">
        <w:rPr>
          <w:rFonts w:ascii="Times New Roman" w:hAnsi="Times New Roman" w:cs="Times New Roman"/>
          <w:b/>
        </w:rPr>
        <w:t xml:space="preserve"> sujet : </w:t>
      </w:r>
      <w:r>
        <w:rPr>
          <w:rFonts w:ascii="Times New Roman" w:hAnsi="Times New Roman" w:cs="Times New Roman"/>
          <w:b/>
        </w:rPr>
        <w:t>commentaire d'arrêt</w:t>
      </w:r>
    </w:p>
    <w:p w:rsidR="00830FFC" w:rsidRDefault="00830FFC" w:rsidP="00830FFC">
      <w:pPr>
        <w:rPr>
          <w:rFonts w:ascii="Times New Roman" w:hAnsi="Times New Roman" w:cs="Times New Roman"/>
          <w:b/>
        </w:rPr>
      </w:pPr>
    </w:p>
    <w:p w:rsidR="00830FFC" w:rsidRDefault="00830FFC" w:rsidP="00830FFC">
      <w:pPr>
        <w:rPr>
          <w:rFonts w:ascii="Times New Roman" w:hAnsi="Times New Roman" w:cs="Times New Roman"/>
          <w:b/>
        </w:rPr>
      </w:pPr>
    </w:p>
    <w:p w:rsidR="00830FFC" w:rsidRPr="00CE17A3" w:rsidRDefault="00830FFC" w:rsidP="00830FFC">
      <w:pPr>
        <w:spacing w:after="240"/>
        <w:rPr>
          <w:rFonts w:ascii="Times New Roman" w:eastAsia="Times New Roman" w:hAnsi="Times New Roman" w:cs="Times New Roman"/>
        </w:rPr>
      </w:pPr>
      <w:r w:rsidRPr="00CE17A3">
        <w:rPr>
          <w:rFonts w:ascii="Times New Roman" w:eastAsia="Times New Roman" w:hAnsi="Times New Roman" w:cs="Times New Roman"/>
          <w:b/>
          <w:bCs/>
        </w:rPr>
        <w:t xml:space="preserve">Cour de cassation chambre civile 3 </w:t>
      </w:r>
      <w:r>
        <w:rPr>
          <w:rFonts w:ascii="Times New Roman" w:eastAsia="Times New Roman" w:hAnsi="Times New Roman" w:cs="Times New Roman"/>
          <w:b/>
          <w:bCs/>
        </w:rPr>
        <w:t xml:space="preserve"> </w:t>
      </w:r>
      <w:r w:rsidRPr="00CE17A3">
        <w:rPr>
          <w:rFonts w:ascii="Times New Roman" w:eastAsia="Times New Roman" w:hAnsi="Times New Roman" w:cs="Times New Roman"/>
          <w:b/>
          <w:bCs/>
        </w:rPr>
        <w:t xml:space="preserve">14 septembre 2017 N° de pourvoi: 16-17323 </w:t>
      </w:r>
      <w:r w:rsidRPr="00CE17A3">
        <w:rPr>
          <w:rFonts w:ascii="Times New Roman" w:eastAsia="Times New Roman" w:hAnsi="Times New Roman" w:cs="Times New Roman"/>
          <w:b/>
          <w:bCs/>
        </w:rPr>
        <w:br/>
      </w:r>
      <w:r w:rsidRPr="00CE17A3">
        <w:rPr>
          <w:rFonts w:ascii="Times New Roman" w:eastAsia="Times New Roman" w:hAnsi="Times New Roman" w:cs="Times New Roman"/>
        </w:rPr>
        <w:t xml:space="preserve">Publié au bulletin </w:t>
      </w:r>
      <w:r w:rsidRPr="00CE17A3">
        <w:rPr>
          <w:rFonts w:ascii="Times New Roman" w:eastAsia="Times New Roman" w:hAnsi="Times New Roman" w:cs="Times New Roman"/>
        </w:rPr>
        <w:br/>
      </w:r>
      <w:r w:rsidRPr="00CE17A3">
        <w:rPr>
          <w:rFonts w:ascii="Times New Roman" w:eastAsia="Times New Roman" w:hAnsi="Times New Roman" w:cs="Times New Roman"/>
        </w:rPr>
        <w:br/>
        <w:t xml:space="preserve">Sur le moyen relevé d'office, après avis donné aux parties en application de l'article 1015 du code de procédure civile : </w:t>
      </w:r>
      <w:r w:rsidRPr="00CE17A3">
        <w:rPr>
          <w:rFonts w:ascii="Times New Roman" w:eastAsia="Times New Roman" w:hAnsi="Times New Roman" w:cs="Times New Roman"/>
        </w:rPr>
        <w:br/>
      </w:r>
      <w:r w:rsidRPr="00CE17A3">
        <w:rPr>
          <w:rFonts w:ascii="Times New Roman" w:eastAsia="Times New Roman" w:hAnsi="Times New Roman" w:cs="Times New Roman"/>
        </w:rPr>
        <w:br/>
        <w:t xml:space="preserve">Vu l'article 1792 du code civil ; </w:t>
      </w:r>
      <w:r w:rsidRPr="00CE17A3">
        <w:rPr>
          <w:rFonts w:ascii="Times New Roman" w:eastAsia="Times New Roman" w:hAnsi="Times New Roman" w:cs="Times New Roman"/>
        </w:rPr>
        <w:br/>
      </w:r>
      <w:r w:rsidRPr="00CE17A3">
        <w:rPr>
          <w:rFonts w:ascii="Times New Roman" w:eastAsia="Times New Roman" w:hAnsi="Times New Roman" w:cs="Times New Roman"/>
        </w:rPr>
        <w:br/>
        <w:t xml:space="preserve">Attendu, selon l'arrêt attaqué (Douai, 17 mars 2016), qu'un incendie trouvant son origine dans un insert posé par la société </w:t>
      </w:r>
      <w:proofErr w:type="spellStart"/>
      <w:r w:rsidRPr="00CE17A3">
        <w:rPr>
          <w:rFonts w:ascii="Times New Roman" w:eastAsia="Times New Roman" w:hAnsi="Times New Roman" w:cs="Times New Roman"/>
        </w:rPr>
        <w:t>Jacquinet</w:t>
      </w:r>
      <w:proofErr w:type="spellEnd"/>
      <w:r w:rsidRPr="00CE17A3">
        <w:rPr>
          <w:rFonts w:ascii="Times New Roman" w:eastAsia="Times New Roman" w:hAnsi="Times New Roman" w:cs="Times New Roman"/>
        </w:rPr>
        <w:t xml:space="preserve">, assurée en responsabilité civile décennale par la société Mutuelles du Mans assurances IARD (les MMA), a endommagé l'immeuble appartenant à M. et Mme Z..., assurés auprès de la société Allianz, dans lequel la société Auberge de l'Hermitage, également assurée par la société Allianz, exploite un fonds de commerce de restauration ; que la société Auberge de l'Hermitage a assigné en réparation de son préjudice la société </w:t>
      </w:r>
      <w:proofErr w:type="spellStart"/>
      <w:r w:rsidRPr="00CE17A3">
        <w:rPr>
          <w:rFonts w:ascii="Times New Roman" w:eastAsia="Times New Roman" w:hAnsi="Times New Roman" w:cs="Times New Roman"/>
        </w:rPr>
        <w:t>Jacquinet</w:t>
      </w:r>
      <w:proofErr w:type="spellEnd"/>
      <w:r w:rsidRPr="00CE17A3">
        <w:rPr>
          <w:rFonts w:ascii="Times New Roman" w:eastAsia="Times New Roman" w:hAnsi="Times New Roman" w:cs="Times New Roman"/>
        </w:rPr>
        <w:t xml:space="preserve"> et son assureur, lesquels ont été assignés par la société Allianz en remboursement des indemnités versées à ses assurés ; </w:t>
      </w:r>
      <w:r w:rsidRPr="00CE17A3">
        <w:rPr>
          <w:rFonts w:ascii="Times New Roman" w:eastAsia="Times New Roman" w:hAnsi="Times New Roman" w:cs="Times New Roman"/>
        </w:rPr>
        <w:br/>
      </w:r>
      <w:r w:rsidRPr="00CE17A3">
        <w:rPr>
          <w:rFonts w:ascii="Times New Roman" w:eastAsia="Times New Roman" w:hAnsi="Times New Roman" w:cs="Times New Roman"/>
        </w:rPr>
        <w:br/>
        <w:t xml:space="preserve">Attendu que, pour rejeter les demandes des sociétés </w:t>
      </w:r>
      <w:proofErr w:type="spellStart"/>
      <w:r w:rsidRPr="00CE17A3">
        <w:rPr>
          <w:rFonts w:ascii="Times New Roman" w:eastAsia="Times New Roman" w:hAnsi="Times New Roman" w:cs="Times New Roman"/>
        </w:rPr>
        <w:t>Jacquinet</w:t>
      </w:r>
      <w:proofErr w:type="spellEnd"/>
      <w:r w:rsidRPr="00CE17A3">
        <w:rPr>
          <w:rFonts w:ascii="Times New Roman" w:eastAsia="Times New Roman" w:hAnsi="Times New Roman" w:cs="Times New Roman"/>
        </w:rPr>
        <w:t xml:space="preserve"> et Allianz à l'encontre des MMA, l'arrêt retient que les travaux d'installation de l'insert ne sont pas assimilables à la construction d'un ouvrage, que l'insert ne peut pas davantage être qualifié d'élément d'équipement indissociable puisqu'il ne résulte d'aucun élément du dossier que la dépose de l'appareil serait de nature à porter atteinte aux fondations ou à l'ossature de l'immeuble et que, s'agissant d'un élément d'équipement dissociable adjoint à un appareil existant, la responsabilité de la société </w:t>
      </w:r>
      <w:proofErr w:type="spellStart"/>
      <w:r w:rsidRPr="00CE17A3">
        <w:rPr>
          <w:rFonts w:ascii="Times New Roman" w:eastAsia="Times New Roman" w:hAnsi="Times New Roman" w:cs="Times New Roman"/>
        </w:rPr>
        <w:t>Jacquinet</w:t>
      </w:r>
      <w:proofErr w:type="spellEnd"/>
      <w:r w:rsidRPr="00CE17A3">
        <w:rPr>
          <w:rFonts w:ascii="Times New Roman" w:eastAsia="Times New Roman" w:hAnsi="Times New Roman" w:cs="Times New Roman"/>
        </w:rPr>
        <w:t xml:space="preserve"> n'est pas fondée sur l'article 1792 du code civil ; </w:t>
      </w:r>
      <w:r w:rsidRPr="00CE17A3">
        <w:rPr>
          <w:rFonts w:ascii="Times New Roman" w:eastAsia="Times New Roman" w:hAnsi="Times New Roman" w:cs="Times New Roman"/>
        </w:rPr>
        <w:br/>
      </w:r>
      <w:r w:rsidRPr="00CE17A3">
        <w:rPr>
          <w:rFonts w:ascii="Times New Roman" w:eastAsia="Times New Roman" w:hAnsi="Times New Roman" w:cs="Times New Roman"/>
        </w:rPr>
        <w:br/>
        <w:t xml:space="preserve">Qu'en statuant ainsi, alors que les désordres affectant des éléments d'équipement, dissociables ou non, d'origine ou installés sur existant, relèvent de la responsabilité décennale lorsqu'ils rendent l'ouvrage dans son ensemble impropre à sa destination, la cour d'appel a violé le texte susvisé ; </w:t>
      </w:r>
      <w:r w:rsidRPr="00CE17A3">
        <w:rPr>
          <w:rFonts w:ascii="Times New Roman" w:eastAsia="Times New Roman" w:hAnsi="Times New Roman" w:cs="Times New Roman"/>
        </w:rPr>
        <w:br/>
      </w:r>
      <w:r w:rsidRPr="00CE17A3">
        <w:rPr>
          <w:rFonts w:ascii="Times New Roman" w:eastAsia="Times New Roman" w:hAnsi="Times New Roman" w:cs="Times New Roman"/>
        </w:rPr>
        <w:br/>
        <w:t xml:space="preserve">PAR CES MOTIFS : </w:t>
      </w:r>
      <w:r w:rsidRPr="00CE17A3">
        <w:rPr>
          <w:rFonts w:ascii="Times New Roman" w:eastAsia="Times New Roman" w:hAnsi="Times New Roman" w:cs="Times New Roman"/>
        </w:rPr>
        <w:br/>
      </w:r>
      <w:r w:rsidRPr="00CE17A3">
        <w:rPr>
          <w:rFonts w:ascii="Times New Roman" w:eastAsia="Times New Roman" w:hAnsi="Times New Roman" w:cs="Times New Roman"/>
        </w:rPr>
        <w:lastRenderedPageBreak/>
        <w:br/>
        <w:t xml:space="preserve">CASSE ET ANNULE, mais seulement en ce qu'il rejette les demandes des sociétés </w:t>
      </w:r>
      <w:proofErr w:type="spellStart"/>
      <w:r w:rsidRPr="00CE17A3">
        <w:rPr>
          <w:rFonts w:ascii="Times New Roman" w:eastAsia="Times New Roman" w:hAnsi="Times New Roman" w:cs="Times New Roman"/>
        </w:rPr>
        <w:t>Jacquinet</w:t>
      </w:r>
      <w:proofErr w:type="spellEnd"/>
      <w:r w:rsidRPr="00CE17A3">
        <w:rPr>
          <w:rFonts w:ascii="Times New Roman" w:eastAsia="Times New Roman" w:hAnsi="Times New Roman" w:cs="Times New Roman"/>
        </w:rPr>
        <w:t xml:space="preserve"> et Allianz dirigées contre les MMA, l'arrêt rendu le 17 mars 2016, entre les parties, par la cour d'appel de Douai ; remet, en conséquence, sur ce point, la cause et les parties dans l'état où elles se trouvaient avant ledit arrêt et, pour être fait droit, les renvoie devant la cour d'appel de Douai, autrement composée ;</w:t>
      </w:r>
    </w:p>
    <w:p w:rsidR="00830FFC" w:rsidRDefault="00830FFC" w:rsidP="00830FFC">
      <w:pPr>
        <w:rPr>
          <w:rFonts w:ascii="Times New Roman" w:hAnsi="Times New Roman" w:cs="Times New Roman"/>
        </w:rPr>
      </w:pPr>
    </w:p>
    <w:p w:rsidR="00830FFC" w:rsidRPr="00CE17A3" w:rsidRDefault="00830FFC" w:rsidP="00830FFC">
      <w:pPr>
        <w:rPr>
          <w:rFonts w:ascii="Times New Roman" w:hAnsi="Times New Roman" w:cs="Times New Roman"/>
          <w:b/>
        </w:rPr>
      </w:pPr>
      <w:r w:rsidRPr="00CE17A3">
        <w:rPr>
          <w:rFonts w:ascii="Times New Roman" w:hAnsi="Times New Roman" w:cs="Times New Roman"/>
          <w:b/>
        </w:rPr>
        <w:t>Les codes civil et de la construction sont autorisés</w:t>
      </w:r>
    </w:p>
    <w:p w:rsidR="00F871E6" w:rsidRDefault="00F871E6"/>
    <w:sectPr w:rsidR="00F871E6" w:rsidSect="004565FE">
      <w:headerReference w:type="default" r:id="rId7"/>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B6128">
      <w:r>
        <w:separator/>
      </w:r>
    </w:p>
  </w:endnote>
  <w:endnote w:type="continuationSeparator" w:id="0">
    <w:p w:rsidR="00000000" w:rsidRDefault="00BB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B6128">
      <w:r>
        <w:separator/>
      </w:r>
    </w:p>
  </w:footnote>
  <w:footnote w:type="continuationSeparator" w:id="0">
    <w:p w:rsidR="00000000" w:rsidRDefault="00BB6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672931"/>
      <w:docPartObj>
        <w:docPartGallery w:val="Page Numbers (Top of Page)"/>
        <w:docPartUnique/>
      </w:docPartObj>
    </w:sdtPr>
    <w:sdtEndPr/>
    <w:sdtContent>
      <w:p w:rsidR="004565FE" w:rsidRDefault="00830FFC">
        <w:pPr>
          <w:pStyle w:val="En-tte"/>
          <w:jc w:val="right"/>
        </w:pPr>
        <w:r>
          <w:fldChar w:fldCharType="begin"/>
        </w:r>
        <w:r>
          <w:instrText xml:space="preserve"> PAGE   \* MERGEFORMAT </w:instrText>
        </w:r>
        <w:r>
          <w:fldChar w:fldCharType="separate"/>
        </w:r>
        <w:r w:rsidR="00BB6128">
          <w:rPr>
            <w:noProof/>
          </w:rPr>
          <w:t>2</w:t>
        </w:r>
        <w:r>
          <w:fldChar w:fldCharType="end"/>
        </w:r>
      </w:p>
    </w:sdtContent>
  </w:sdt>
  <w:p w:rsidR="004565FE" w:rsidRDefault="00BB612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FC"/>
    <w:rsid w:val="00830FFC"/>
    <w:rsid w:val="00BB6128"/>
    <w:rsid w:val="00F871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FFC"/>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30FFC"/>
    <w:pPr>
      <w:tabs>
        <w:tab w:val="center" w:pos="4536"/>
        <w:tab w:val="right" w:pos="9072"/>
      </w:tabs>
    </w:pPr>
  </w:style>
  <w:style w:type="character" w:customStyle="1" w:styleId="En-tteCar">
    <w:name w:val="En-tête Car"/>
    <w:basedOn w:val="Policepardfaut"/>
    <w:link w:val="En-tte"/>
    <w:uiPriority w:val="99"/>
    <w:rsid w:val="00830FFC"/>
    <w:rPr>
      <w:rFonts w:eastAsiaTheme="minorEastAsia"/>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FFC"/>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30FFC"/>
    <w:pPr>
      <w:tabs>
        <w:tab w:val="center" w:pos="4536"/>
        <w:tab w:val="right" w:pos="9072"/>
      </w:tabs>
    </w:pPr>
  </w:style>
  <w:style w:type="character" w:customStyle="1" w:styleId="En-tteCar">
    <w:name w:val="En-tête Car"/>
    <w:basedOn w:val="Policepardfaut"/>
    <w:link w:val="En-tte"/>
    <w:uiPriority w:val="99"/>
    <w:rsid w:val="00830FFC"/>
    <w:rPr>
      <w:rFonts w:eastAsiaTheme="minorEastAsi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2261</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hugues</dc:creator>
  <cp:lastModifiedBy>Administrateur</cp:lastModifiedBy>
  <cp:revision>2</cp:revision>
  <cp:lastPrinted>2018-04-30T13:20:00Z</cp:lastPrinted>
  <dcterms:created xsi:type="dcterms:W3CDTF">2018-04-30T13:20:00Z</dcterms:created>
  <dcterms:modified xsi:type="dcterms:W3CDTF">2018-04-30T13:20:00Z</dcterms:modified>
</cp:coreProperties>
</file>