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832" w:rsidRDefault="00EC5832" w:rsidP="00EC5832">
      <w:pPr>
        <w:widowControl w:val="0"/>
        <w:tabs>
          <w:tab w:val="center" w:pos="4819"/>
          <w:tab w:val="right" w:pos="9582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sz w:val="24"/>
          <w:szCs w:val="24"/>
        </w:rPr>
        <w:tab/>
      </w:r>
      <w:r>
        <w:rPr>
          <w:rFonts w:ascii="Arial" w:hAnsi="Arial" w:cs="Arial"/>
          <w:b/>
          <w:bCs/>
          <w:color w:val="008000"/>
          <w:sz w:val="24"/>
          <w:szCs w:val="24"/>
          <w:u w:val="single"/>
        </w:rPr>
        <w:t>Université PANTHÉON - ASSAS (PARIS II)</w:t>
      </w:r>
      <w:r>
        <w:rPr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1° sem.</w:t>
      </w:r>
    </w:p>
    <w:p w:rsidR="00EC5832" w:rsidRDefault="00EC5832" w:rsidP="00EC583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EC5832" w:rsidRDefault="00EC5832" w:rsidP="00EC583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8"/>
          <w:szCs w:val="8"/>
        </w:rPr>
      </w:pPr>
    </w:p>
    <w:p w:rsidR="00EC5832" w:rsidRDefault="00EC5832" w:rsidP="00EC5832">
      <w:pPr>
        <w:widowControl w:val="0"/>
        <w:tabs>
          <w:tab w:val="center" w:pos="4821"/>
          <w:tab w:val="right" w:pos="9582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24"/>
          <w:szCs w:val="24"/>
          <w:u w:val="single"/>
        </w:rPr>
        <w:t>Droit - Economie - Sciences Sociales</w:t>
      </w:r>
      <w:r>
        <w:rPr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4222</w:t>
      </w:r>
    </w:p>
    <w:p w:rsidR="00EC5832" w:rsidRDefault="00EC5832" w:rsidP="00EC583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EC5832" w:rsidRDefault="00EC5832" w:rsidP="00EC583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5"/>
          <w:szCs w:val="15"/>
        </w:rPr>
      </w:pPr>
    </w:p>
    <w:p w:rsidR="00EC5832" w:rsidRDefault="00EC5832" w:rsidP="00EC5832">
      <w:pPr>
        <w:widowControl w:val="0"/>
        <w:tabs>
          <w:tab w:val="left" w:pos="62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sz w:val="24"/>
          <w:szCs w:val="24"/>
        </w:rPr>
        <w:tab/>
      </w:r>
      <w:r>
        <w:rPr>
          <w:rFonts w:ascii="Arial" w:hAnsi="Arial" w:cs="Arial"/>
          <w:color w:val="000000"/>
        </w:rPr>
        <w:t>Assas</w:t>
      </w:r>
    </w:p>
    <w:p w:rsidR="00EC5832" w:rsidRDefault="00EC5832" w:rsidP="00EC583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EC5832" w:rsidRDefault="00EC5832" w:rsidP="00EC583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EC5832" w:rsidRDefault="00EC5832" w:rsidP="00EC583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6"/>
          <w:szCs w:val="6"/>
        </w:rPr>
      </w:pPr>
    </w:p>
    <w:p w:rsidR="00EC5832" w:rsidRDefault="00EC5832" w:rsidP="00EC5832">
      <w:pPr>
        <w:widowControl w:val="0"/>
        <w:tabs>
          <w:tab w:val="left" w:pos="56"/>
          <w:tab w:val="left" w:pos="2688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 xml:space="preserve">Session : </w:t>
      </w:r>
      <w:r>
        <w:rPr>
          <w:sz w:val="24"/>
          <w:szCs w:val="24"/>
        </w:rPr>
        <w:tab/>
      </w:r>
      <w:r>
        <w:rPr>
          <w:rFonts w:ascii="Arial" w:hAnsi="Arial" w:cs="Arial"/>
          <w:color w:val="000000"/>
        </w:rPr>
        <w:t>Janvier 2018</w:t>
      </w:r>
    </w:p>
    <w:p w:rsidR="00EC5832" w:rsidRDefault="00EC5832" w:rsidP="00EC583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EC5832" w:rsidRDefault="00EC5832" w:rsidP="00EC583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EC5832" w:rsidRDefault="00EC5832" w:rsidP="00EC583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0"/>
          <w:szCs w:val="10"/>
        </w:rPr>
      </w:pPr>
    </w:p>
    <w:p w:rsidR="00EC5832" w:rsidRDefault="00EC5832" w:rsidP="00EC5832">
      <w:pPr>
        <w:widowControl w:val="0"/>
        <w:tabs>
          <w:tab w:val="left" w:pos="56"/>
          <w:tab w:val="left" w:pos="2688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 xml:space="preserve">Année d'étude : </w:t>
      </w:r>
      <w:r>
        <w:rPr>
          <w:sz w:val="24"/>
          <w:szCs w:val="24"/>
        </w:rPr>
        <w:tab/>
      </w:r>
      <w:r>
        <w:rPr>
          <w:rFonts w:ascii="Arial" w:hAnsi="Arial" w:cs="Arial"/>
          <w:color w:val="000000"/>
        </w:rPr>
        <w:t>Magistère Banque - Finance deuxième année</w:t>
      </w:r>
    </w:p>
    <w:p w:rsidR="00EC5832" w:rsidRDefault="00EC5832" w:rsidP="00EC583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EC5832" w:rsidRDefault="00EC5832" w:rsidP="00EC583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EC5832" w:rsidRDefault="00EC5832" w:rsidP="00EC583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</w:p>
    <w:p w:rsidR="00EC5832" w:rsidRDefault="00EC5832" w:rsidP="00EC5832">
      <w:pPr>
        <w:widowControl w:val="0"/>
        <w:tabs>
          <w:tab w:val="left" w:pos="56"/>
          <w:tab w:val="left" w:pos="2688"/>
        </w:tabs>
        <w:autoSpaceDE w:val="0"/>
        <w:autoSpaceDN w:val="0"/>
        <w:adjustRightInd w:val="0"/>
        <w:rPr>
          <w:b/>
          <w:bCs/>
          <w:i/>
          <w:iCs/>
          <w:color w:val="000000"/>
        </w:rPr>
      </w:pPr>
      <w:r>
        <w:rPr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 xml:space="preserve">Discipline : </w:t>
      </w:r>
      <w:r>
        <w:rPr>
          <w:sz w:val="24"/>
          <w:szCs w:val="24"/>
        </w:rPr>
        <w:tab/>
      </w:r>
      <w:r>
        <w:rPr>
          <w:b/>
          <w:bCs/>
          <w:i/>
          <w:iCs/>
          <w:color w:val="000000"/>
        </w:rPr>
        <w:t>Finance et fiscalité</w:t>
      </w:r>
    </w:p>
    <w:p w:rsidR="00EC5832" w:rsidRDefault="00EC5832" w:rsidP="00EC5832">
      <w:pPr>
        <w:widowControl w:val="0"/>
        <w:autoSpaceDE w:val="0"/>
        <w:autoSpaceDN w:val="0"/>
        <w:adjustRightInd w:val="0"/>
        <w:rPr>
          <w:b/>
          <w:bCs/>
          <w:i/>
          <w:iCs/>
          <w:color w:val="000000"/>
          <w:sz w:val="8"/>
          <w:szCs w:val="8"/>
        </w:rPr>
      </w:pPr>
    </w:p>
    <w:p w:rsidR="00EC5832" w:rsidRDefault="00EC5832" w:rsidP="00EC5832">
      <w:pPr>
        <w:widowControl w:val="0"/>
        <w:tabs>
          <w:tab w:val="left" w:pos="2688"/>
        </w:tabs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(Structure 1° semestre)</w:t>
      </w:r>
    </w:p>
    <w:p w:rsidR="00EC5832" w:rsidRDefault="00EC5832" w:rsidP="00EC583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EC5832" w:rsidRDefault="00EC5832" w:rsidP="00EC583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5"/>
          <w:szCs w:val="15"/>
        </w:rPr>
      </w:pPr>
    </w:p>
    <w:p w:rsidR="00EC5832" w:rsidRDefault="00EC5832" w:rsidP="00EC5832">
      <w:pPr>
        <w:widowControl w:val="0"/>
        <w:tabs>
          <w:tab w:val="left" w:pos="5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 xml:space="preserve">Titulaire(s) du cours : </w:t>
      </w:r>
    </w:p>
    <w:p w:rsidR="00EC5832" w:rsidRDefault="00EC5832" w:rsidP="00EC583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0"/>
          <w:szCs w:val="10"/>
        </w:rPr>
      </w:pPr>
    </w:p>
    <w:p w:rsidR="00EC5832" w:rsidRDefault="00EC5832" w:rsidP="00EC5832">
      <w:pPr>
        <w:widowControl w:val="0"/>
        <w:tabs>
          <w:tab w:val="left" w:pos="2509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sz w:val="24"/>
          <w:szCs w:val="24"/>
        </w:rPr>
        <w:tab/>
      </w:r>
      <w:r>
        <w:rPr>
          <w:rFonts w:ascii="Arial" w:hAnsi="Arial" w:cs="Arial"/>
          <w:color w:val="000000"/>
        </w:rPr>
        <w:t>M. Eric MEYER</w:t>
      </w:r>
    </w:p>
    <w:p w:rsidR="00EC5832" w:rsidRDefault="00EC5832" w:rsidP="00EC583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EC5832" w:rsidRDefault="00EC5832" w:rsidP="00EC583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</w:p>
    <w:p w:rsidR="00EC5832" w:rsidRDefault="00EC5832" w:rsidP="00EC5832">
      <w:pPr>
        <w:widowControl w:val="0"/>
        <w:tabs>
          <w:tab w:val="left" w:pos="56"/>
        </w:tabs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>
        <w:rPr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 xml:space="preserve">Document(s) autorisé(s) : </w:t>
      </w:r>
      <w:r w:rsidRPr="00EC5832">
        <w:rPr>
          <w:rFonts w:ascii="Arial" w:hAnsi="Arial" w:cs="Arial"/>
          <w:color w:val="000000"/>
        </w:rPr>
        <w:t>Aucun document - support ne sont autorisés</w:t>
      </w:r>
    </w:p>
    <w:p w:rsidR="00EC5832" w:rsidRDefault="00EC5832" w:rsidP="00EC5832">
      <w:pPr>
        <w:widowControl w:val="0"/>
        <w:tabs>
          <w:tab w:val="left" w:pos="56"/>
        </w:tabs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:rsidR="00EC5832" w:rsidRDefault="00EC5832" w:rsidP="00C87CB0">
      <w:pPr>
        <w:jc w:val="both"/>
        <w:rPr>
          <w:sz w:val="24"/>
          <w:szCs w:val="24"/>
        </w:rPr>
      </w:pPr>
      <w:bookmarkStart w:id="0" w:name="_GoBack"/>
      <w:bookmarkEnd w:id="0"/>
    </w:p>
    <w:p w:rsidR="00EC5832" w:rsidRDefault="00EC5832" w:rsidP="00C87CB0">
      <w:pPr>
        <w:jc w:val="both"/>
        <w:rPr>
          <w:sz w:val="24"/>
          <w:szCs w:val="24"/>
        </w:rPr>
      </w:pPr>
    </w:p>
    <w:p w:rsidR="00EC5832" w:rsidRDefault="00EC5832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87CB0" w:rsidRPr="00FC3988" w:rsidRDefault="00C87CB0" w:rsidP="00C87CB0">
      <w:pPr>
        <w:jc w:val="both"/>
        <w:rPr>
          <w:sz w:val="24"/>
          <w:szCs w:val="24"/>
        </w:rPr>
      </w:pPr>
      <w:r w:rsidRPr="00FC3988">
        <w:rPr>
          <w:sz w:val="24"/>
          <w:szCs w:val="24"/>
        </w:rPr>
        <w:lastRenderedPageBreak/>
        <w:t xml:space="preserve">Monsieur </w:t>
      </w:r>
      <w:r>
        <w:rPr>
          <w:sz w:val="24"/>
          <w:szCs w:val="24"/>
        </w:rPr>
        <w:t>Cashflow</w:t>
      </w:r>
      <w:r w:rsidRPr="00FC3988">
        <w:rPr>
          <w:sz w:val="24"/>
          <w:szCs w:val="24"/>
        </w:rPr>
        <w:t xml:space="preserve"> ancien analyste financier chez </w:t>
      </w:r>
      <w:r>
        <w:rPr>
          <w:sz w:val="24"/>
          <w:szCs w:val="24"/>
        </w:rPr>
        <w:t xml:space="preserve">Tate &amp; </w:t>
      </w:r>
      <w:r w:rsidR="00803873">
        <w:rPr>
          <w:sz w:val="24"/>
          <w:szCs w:val="24"/>
        </w:rPr>
        <w:t>Mc Man</w:t>
      </w:r>
      <w:r w:rsidRPr="00FC3988">
        <w:rPr>
          <w:sz w:val="24"/>
          <w:szCs w:val="24"/>
        </w:rPr>
        <w:t xml:space="preserve"> </w:t>
      </w:r>
      <w:r>
        <w:rPr>
          <w:sz w:val="24"/>
          <w:szCs w:val="24"/>
        </w:rPr>
        <w:t>vient de créer</w:t>
      </w:r>
      <w:r w:rsidRPr="00FC3988">
        <w:rPr>
          <w:sz w:val="24"/>
          <w:szCs w:val="24"/>
        </w:rPr>
        <w:t xml:space="preserve"> sa propre société de gestion. Son projet </w:t>
      </w:r>
      <w:r>
        <w:rPr>
          <w:sz w:val="24"/>
          <w:szCs w:val="24"/>
        </w:rPr>
        <w:t>de constituer</w:t>
      </w:r>
      <w:r w:rsidRPr="00FC3988">
        <w:rPr>
          <w:sz w:val="24"/>
          <w:szCs w:val="24"/>
        </w:rPr>
        <w:t xml:space="preserve"> un fonds dédié aux PME nécessite une personne employée à temps plein qui se chargera de la communication sur ce projet. </w:t>
      </w:r>
    </w:p>
    <w:p w:rsidR="00C87CB0" w:rsidRPr="00FC3988" w:rsidRDefault="00C87CB0" w:rsidP="00C87CB0">
      <w:pPr>
        <w:jc w:val="both"/>
        <w:rPr>
          <w:sz w:val="24"/>
          <w:szCs w:val="24"/>
        </w:rPr>
      </w:pPr>
    </w:p>
    <w:p w:rsidR="00C87CB0" w:rsidRPr="00FC3988" w:rsidRDefault="00C87CB0" w:rsidP="00C87CB0">
      <w:pPr>
        <w:jc w:val="both"/>
        <w:rPr>
          <w:sz w:val="24"/>
          <w:szCs w:val="24"/>
        </w:rPr>
      </w:pPr>
      <w:r w:rsidRPr="00FC3988">
        <w:rPr>
          <w:sz w:val="24"/>
          <w:szCs w:val="24"/>
        </w:rPr>
        <w:t>A cette fin</w:t>
      </w:r>
      <w:r>
        <w:rPr>
          <w:sz w:val="24"/>
          <w:szCs w:val="24"/>
        </w:rPr>
        <w:t>,</w:t>
      </w:r>
      <w:r w:rsidRPr="00FC3988">
        <w:rPr>
          <w:sz w:val="24"/>
          <w:szCs w:val="24"/>
        </w:rPr>
        <w:t xml:space="preserve"> il envisage de recruter son épouse en qui il a toute confiance. Elle sera</w:t>
      </w:r>
      <w:r>
        <w:rPr>
          <w:sz w:val="24"/>
          <w:szCs w:val="24"/>
        </w:rPr>
        <w:t>it</w:t>
      </w:r>
      <w:r w:rsidRPr="00FC3988">
        <w:rPr>
          <w:sz w:val="24"/>
          <w:szCs w:val="24"/>
        </w:rPr>
        <w:t xml:space="preserve"> s</w:t>
      </w:r>
      <w:r>
        <w:rPr>
          <w:sz w:val="24"/>
          <w:szCs w:val="24"/>
        </w:rPr>
        <w:t>alariée de l'entreprise pour 50.</w:t>
      </w:r>
      <w:r w:rsidRPr="00FC3988">
        <w:rPr>
          <w:sz w:val="24"/>
          <w:szCs w:val="24"/>
        </w:rPr>
        <w:t xml:space="preserve">000€ par an. Il a entendu parler d'un centre de gestion agréé. Etant d'un naturel secret il souhaite établir lui-même la comptabilité de son entreprise. Quelles conséquences doit-il tirer s'agissant de </w:t>
      </w:r>
      <w:r>
        <w:rPr>
          <w:sz w:val="24"/>
          <w:szCs w:val="24"/>
        </w:rPr>
        <w:t xml:space="preserve">la déductibilité de </w:t>
      </w:r>
      <w:r w:rsidRPr="00FC3988">
        <w:rPr>
          <w:sz w:val="24"/>
          <w:szCs w:val="24"/>
        </w:rPr>
        <w:t>cette rémunération au regard de la détermination du résultat imposable de son entreprise</w:t>
      </w:r>
      <w:r>
        <w:rPr>
          <w:sz w:val="24"/>
          <w:szCs w:val="24"/>
        </w:rPr>
        <w:t xml:space="preserve"> </w:t>
      </w:r>
      <w:r w:rsidRPr="00FC3988">
        <w:rPr>
          <w:sz w:val="24"/>
          <w:szCs w:val="24"/>
        </w:rPr>
        <w:t xml:space="preserve">? </w:t>
      </w:r>
      <w:r>
        <w:rPr>
          <w:sz w:val="24"/>
          <w:szCs w:val="24"/>
        </w:rPr>
        <w:t xml:space="preserve">Monsieur Cashflow pourrait-il avoir un intérêt ou non à employer un autre membre de sa famille ? </w:t>
      </w:r>
    </w:p>
    <w:p w:rsidR="00C87CB0" w:rsidRPr="00FC3988" w:rsidRDefault="00C87CB0" w:rsidP="00C87CB0">
      <w:pPr>
        <w:jc w:val="both"/>
        <w:rPr>
          <w:sz w:val="24"/>
          <w:szCs w:val="24"/>
        </w:rPr>
      </w:pPr>
    </w:p>
    <w:p w:rsidR="00C87CB0" w:rsidRPr="00FC3988" w:rsidRDefault="00C87CB0" w:rsidP="00C87CB0">
      <w:pPr>
        <w:jc w:val="both"/>
        <w:rPr>
          <w:sz w:val="24"/>
          <w:szCs w:val="24"/>
        </w:rPr>
      </w:pPr>
      <w:r w:rsidRPr="00FC3988">
        <w:rPr>
          <w:sz w:val="24"/>
          <w:szCs w:val="24"/>
        </w:rPr>
        <w:t>Jugeant que son bénéfice imposable pour 201</w:t>
      </w:r>
      <w:r>
        <w:rPr>
          <w:sz w:val="24"/>
          <w:szCs w:val="24"/>
        </w:rPr>
        <w:t>7</w:t>
      </w:r>
      <w:r w:rsidRPr="00FC3988">
        <w:rPr>
          <w:sz w:val="24"/>
          <w:szCs w:val="24"/>
        </w:rPr>
        <w:t xml:space="preserve"> sera trop important, il décide d'envoyer un courrier dans lequel il explique à ses clients que les factures datées de 201</w:t>
      </w:r>
      <w:r>
        <w:rPr>
          <w:sz w:val="24"/>
          <w:szCs w:val="24"/>
        </w:rPr>
        <w:t>7</w:t>
      </w:r>
      <w:r w:rsidRPr="00FC3988">
        <w:rPr>
          <w:sz w:val="24"/>
          <w:szCs w:val="24"/>
        </w:rPr>
        <w:t xml:space="preserve"> ne seront payables qu'en 201</w:t>
      </w:r>
      <w:r>
        <w:rPr>
          <w:sz w:val="24"/>
          <w:szCs w:val="24"/>
        </w:rPr>
        <w:t>8</w:t>
      </w:r>
      <w:r w:rsidRPr="00FC3988">
        <w:rPr>
          <w:sz w:val="24"/>
          <w:szCs w:val="24"/>
        </w:rPr>
        <w:t>. Il se dit que d'un point de vue commercial ses clients seront sensibles à ce geste et que cette démarche permettra de lisser son chiffre d'affaires en ne comptabilisant ces factures que sur l'exercice 201</w:t>
      </w:r>
      <w:r>
        <w:rPr>
          <w:sz w:val="24"/>
          <w:szCs w:val="24"/>
        </w:rPr>
        <w:t>8</w:t>
      </w:r>
      <w:r w:rsidRPr="00FC3988">
        <w:rPr>
          <w:sz w:val="24"/>
          <w:szCs w:val="24"/>
        </w:rPr>
        <w:t xml:space="preserve">. Que pouvez-vous dire sur la régularité </w:t>
      </w:r>
      <w:r>
        <w:rPr>
          <w:sz w:val="24"/>
          <w:szCs w:val="24"/>
        </w:rPr>
        <w:t xml:space="preserve">de </w:t>
      </w:r>
      <w:r w:rsidRPr="00FC3988">
        <w:rPr>
          <w:sz w:val="24"/>
          <w:szCs w:val="24"/>
        </w:rPr>
        <w:t>cette démarche</w:t>
      </w:r>
      <w:r>
        <w:rPr>
          <w:sz w:val="24"/>
          <w:szCs w:val="24"/>
        </w:rPr>
        <w:t xml:space="preserve"> </w:t>
      </w:r>
      <w:r w:rsidRPr="00FC3988">
        <w:rPr>
          <w:sz w:val="24"/>
          <w:szCs w:val="24"/>
        </w:rPr>
        <w:t xml:space="preserve">? </w:t>
      </w:r>
    </w:p>
    <w:p w:rsidR="00C87CB0" w:rsidRPr="00FC3988" w:rsidRDefault="00C87CB0" w:rsidP="00C87CB0">
      <w:pPr>
        <w:jc w:val="both"/>
        <w:rPr>
          <w:sz w:val="24"/>
          <w:szCs w:val="24"/>
        </w:rPr>
      </w:pPr>
    </w:p>
    <w:p w:rsidR="00C87CB0" w:rsidRPr="00FC3988" w:rsidRDefault="00C87CB0" w:rsidP="00C87CB0">
      <w:pPr>
        <w:jc w:val="both"/>
        <w:rPr>
          <w:sz w:val="24"/>
          <w:szCs w:val="24"/>
        </w:rPr>
      </w:pPr>
      <w:r w:rsidRPr="00FC3988">
        <w:rPr>
          <w:sz w:val="24"/>
          <w:szCs w:val="24"/>
        </w:rPr>
        <w:t xml:space="preserve">Monsieur </w:t>
      </w:r>
      <w:r>
        <w:rPr>
          <w:sz w:val="24"/>
          <w:szCs w:val="24"/>
        </w:rPr>
        <w:t>Cashflow</w:t>
      </w:r>
      <w:r w:rsidRPr="00FC3988">
        <w:rPr>
          <w:sz w:val="24"/>
          <w:szCs w:val="24"/>
        </w:rPr>
        <w:t xml:space="preserve"> vient de s’apercevoir qu’il avait oublié de comptabiliser certains frais généraux en 20</w:t>
      </w:r>
      <w:r>
        <w:rPr>
          <w:sz w:val="24"/>
          <w:szCs w:val="24"/>
        </w:rPr>
        <w:t>15</w:t>
      </w:r>
      <w:r w:rsidRPr="00FC3988">
        <w:rPr>
          <w:sz w:val="24"/>
          <w:szCs w:val="24"/>
        </w:rPr>
        <w:t>. Il ne sait pas trop s’il doit les déduire en 201</w:t>
      </w:r>
      <w:r>
        <w:rPr>
          <w:sz w:val="24"/>
          <w:szCs w:val="24"/>
        </w:rPr>
        <w:t>7</w:t>
      </w:r>
      <w:r w:rsidRPr="00FC3988">
        <w:rPr>
          <w:sz w:val="24"/>
          <w:szCs w:val="24"/>
        </w:rPr>
        <w:t xml:space="preserve"> voire en 201</w:t>
      </w:r>
      <w:r>
        <w:rPr>
          <w:sz w:val="24"/>
          <w:szCs w:val="24"/>
        </w:rPr>
        <w:t>8</w:t>
      </w:r>
      <w:r w:rsidRPr="00FC3988">
        <w:rPr>
          <w:sz w:val="24"/>
          <w:szCs w:val="24"/>
        </w:rPr>
        <w:t>. Quelle est votre position s’agissant de la déductibilité de ces frais généraux ?</w:t>
      </w:r>
    </w:p>
    <w:p w:rsidR="00C87CB0" w:rsidRPr="00FC3988" w:rsidRDefault="00C87CB0" w:rsidP="00C87CB0">
      <w:pPr>
        <w:jc w:val="both"/>
        <w:rPr>
          <w:sz w:val="24"/>
          <w:szCs w:val="24"/>
        </w:rPr>
      </w:pPr>
    </w:p>
    <w:p w:rsidR="00C87CB0" w:rsidRPr="00FC3988" w:rsidRDefault="00C87CB0" w:rsidP="00C87CB0">
      <w:pPr>
        <w:jc w:val="both"/>
        <w:rPr>
          <w:sz w:val="24"/>
          <w:szCs w:val="24"/>
        </w:rPr>
      </w:pPr>
      <w:r w:rsidRPr="00FC3988">
        <w:rPr>
          <w:sz w:val="24"/>
          <w:szCs w:val="24"/>
        </w:rPr>
        <w:t xml:space="preserve">Par ailleurs il vient de faire l’acquisition d’un bateau et d’une demeure classée afin d’organiser des réceptions au profit de sa clientèle. Il souhaiterait savoir si les dépenses afférentes à ces deux biens sont déductibles de son chiffre d’affaires et à quelles conditions ? </w:t>
      </w:r>
    </w:p>
    <w:p w:rsidR="00C87CB0" w:rsidRPr="00FC3988" w:rsidRDefault="00C87CB0" w:rsidP="00C87CB0">
      <w:pPr>
        <w:jc w:val="both"/>
        <w:rPr>
          <w:sz w:val="24"/>
          <w:szCs w:val="24"/>
        </w:rPr>
      </w:pPr>
    </w:p>
    <w:p w:rsidR="00C87CB0" w:rsidRDefault="00C87CB0" w:rsidP="00C87CB0">
      <w:pPr>
        <w:jc w:val="both"/>
        <w:rPr>
          <w:sz w:val="24"/>
          <w:szCs w:val="24"/>
        </w:rPr>
      </w:pPr>
      <w:r w:rsidRPr="00FC3988">
        <w:rPr>
          <w:sz w:val="24"/>
          <w:szCs w:val="24"/>
        </w:rPr>
        <w:t>Demain 22 janvier 201</w:t>
      </w:r>
      <w:r>
        <w:rPr>
          <w:sz w:val="24"/>
          <w:szCs w:val="24"/>
        </w:rPr>
        <w:t>8</w:t>
      </w:r>
      <w:r w:rsidRPr="00FC3988">
        <w:rPr>
          <w:sz w:val="24"/>
          <w:szCs w:val="24"/>
        </w:rPr>
        <w:t>, cela fera exactement 3 ans et un jour qu’il a été condamné dans un contentieux qui l’opposait à l’administration fiscale. Ni lui ni l’administration n’ayant fait appel de cette décision, il se demande s’il doit encore payer le montant des droits et des pénalit</w:t>
      </w:r>
      <w:r>
        <w:rPr>
          <w:sz w:val="24"/>
          <w:szCs w:val="24"/>
        </w:rPr>
        <w:t>és auxquels il a été condamné ?</w:t>
      </w:r>
      <w:r w:rsidRPr="00FC3988">
        <w:rPr>
          <w:sz w:val="24"/>
          <w:szCs w:val="24"/>
        </w:rPr>
        <w:t xml:space="preserve"> </w:t>
      </w:r>
    </w:p>
    <w:p w:rsidR="00C87CB0" w:rsidRDefault="00C87CB0" w:rsidP="00C87CB0">
      <w:pPr>
        <w:jc w:val="both"/>
        <w:rPr>
          <w:sz w:val="24"/>
          <w:szCs w:val="24"/>
        </w:rPr>
      </w:pPr>
    </w:p>
    <w:p w:rsidR="005769D4" w:rsidRDefault="00C87CB0" w:rsidP="00803873">
      <w:pPr>
        <w:jc w:val="both"/>
        <w:rPr>
          <w:sz w:val="24"/>
          <w:szCs w:val="24"/>
        </w:rPr>
      </w:pPr>
      <w:r>
        <w:rPr>
          <w:sz w:val="24"/>
          <w:szCs w:val="24"/>
        </w:rPr>
        <w:t>Monsieur Cashflow souhaitant développer l’activité de son entreprise au Moye</w:t>
      </w:r>
      <w:r w:rsidR="00803873">
        <w:rPr>
          <w:sz w:val="24"/>
          <w:szCs w:val="24"/>
        </w:rPr>
        <w:t>n</w:t>
      </w:r>
      <w:r>
        <w:rPr>
          <w:sz w:val="24"/>
          <w:szCs w:val="24"/>
        </w:rPr>
        <w:t>-Orient, il a entendu parler de la beauté des paysages du Sultanat d’Oman</w:t>
      </w:r>
      <w:r w:rsidR="00803873">
        <w:rPr>
          <w:sz w:val="24"/>
          <w:szCs w:val="24"/>
        </w:rPr>
        <w:t xml:space="preserve">. La capitale de cet Etat, Muscat, n’étant pas loin de </w:t>
      </w:r>
      <w:r w:rsidR="00043680">
        <w:rPr>
          <w:sz w:val="24"/>
          <w:szCs w:val="24"/>
        </w:rPr>
        <w:t>Dubaï</w:t>
      </w:r>
      <w:r w:rsidR="00803873">
        <w:rPr>
          <w:sz w:val="24"/>
          <w:szCs w:val="24"/>
        </w:rPr>
        <w:t>, il se dit qu’il pourrait y ouvrir un bureau. Oman, n’ayant pas encore signé d’accord d’échange de renseignements avec la France, il se demande s’il existe un risque à localiser des bénéfices dans cet Etat en termes d’imposition des flux en direction de l’étranger et le cas échéant s’il existe une solution ?</w:t>
      </w:r>
    </w:p>
    <w:p w:rsidR="00043680" w:rsidRDefault="00043680" w:rsidP="00803873">
      <w:pPr>
        <w:jc w:val="both"/>
        <w:rPr>
          <w:sz w:val="24"/>
          <w:szCs w:val="24"/>
        </w:rPr>
      </w:pPr>
    </w:p>
    <w:p w:rsidR="00043680" w:rsidRDefault="00043680" w:rsidP="00803873">
      <w:pPr>
        <w:jc w:val="both"/>
        <w:rPr>
          <w:sz w:val="24"/>
          <w:szCs w:val="24"/>
        </w:rPr>
      </w:pPr>
      <w:r>
        <w:rPr>
          <w:sz w:val="24"/>
          <w:szCs w:val="24"/>
        </w:rPr>
        <w:t>Afin d’assurer le financement de l’ouverture de cette filiale à Oman, Monsieur Cashflow envisage d’utiliser les dividendes qui lui ont été versés le 12 novembre 2017. Sachant qu’il devra s’acquitter de l’impôt sur le revenu sur ces dividendes, il a entendu parler du prélèvement libératoire d’IR au taux de 21%. Il se dit que ce serait une solution intéressante puisqu’il est soumis à un taux marginal de 45%. Que pouvez-vous dire sur ce caractère libératoire d’IR ?</w:t>
      </w:r>
    </w:p>
    <w:p w:rsidR="00803873" w:rsidRDefault="00803873" w:rsidP="00803873">
      <w:pPr>
        <w:jc w:val="both"/>
        <w:rPr>
          <w:sz w:val="24"/>
          <w:szCs w:val="24"/>
        </w:rPr>
      </w:pPr>
    </w:p>
    <w:p w:rsidR="00803873" w:rsidRPr="00803873" w:rsidRDefault="00803873" w:rsidP="0080387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 téléphone de Monsieur Cashflow sonne. Une de ses amies, Madame Variance, lui indique qu’elle souhaiterait l’accompagner dans ce nouveau projet. Toutefois, elle souhaiterait d’abord céder l’entreprise qu’elle détient. </w:t>
      </w:r>
      <w:r w:rsidRPr="00194F8B">
        <w:rPr>
          <w:sz w:val="24"/>
          <w:szCs w:val="24"/>
        </w:rPr>
        <w:t>Si l’opératio</w:t>
      </w:r>
      <w:r>
        <w:rPr>
          <w:sz w:val="24"/>
          <w:szCs w:val="24"/>
        </w:rPr>
        <w:t>n venait à être conclue, quel</w:t>
      </w:r>
      <w:r w:rsidRPr="00194F8B">
        <w:rPr>
          <w:sz w:val="24"/>
          <w:szCs w:val="24"/>
        </w:rPr>
        <w:t xml:space="preserve"> </w:t>
      </w:r>
      <w:r>
        <w:rPr>
          <w:sz w:val="24"/>
          <w:szCs w:val="24"/>
        </w:rPr>
        <w:t>serai</w:t>
      </w:r>
      <w:r w:rsidRPr="00194F8B">
        <w:rPr>
          <w:sz w:val="24"/>
          <w:szCs w:val="24"/>
        </w:rPr>
        <w:t>t le régime d’imposition de la plus-value ainsi réalisée</w:t>
      </w:r>
      <w:r w:rsidR="00043680">
        <w:rPr>
          <w:sz w:val="24"/>
          <w:szCs w:val="24"/>
        </w:rPr>
        <w:t xml:space="preserve"> par Madame Variance</w:t>
      </w:r>
      <w:r w:rsidRPr="00194F8B">
        <w:rPr>
          <w:sz w:val="24"/>
          <w:szCs w:val="24"/>
        </w:rPr>
        <w:t xml:space="preserve">, </w:t>
      </w:r>
      <w:r w:rsidR="00043680">
        <w:rPr>
          <w:sz w:val="24"/>
          <w:szCs w:val="24"/>
        </w:rPr>
        <w:t xml:space="preserve">les abattements éventuellement applicables, </w:t>
      </w:r>
      <w:r w:rsidRPr="00194F8B">
        <w:rPr>
          <w:sz w:val="24"/>
          <w:szCs w:val="24"/>
        </w:rPr>
        <w:t xml:space="preserve">sachant que </w:t>
      </w:r>
      <w:r w:rsidR="00043680">
        <w:rPr>
          <w:sz w:val="24"/>
          <w:szCs w:val="24"/>
        </w:rPr>
        <w:t>son entreprise</w:t>
      </w:r>
      <w:r w:rsidRPr="00194F8B">
        <w:rPr>
          <w:sz w:val="24"/>
          <w:szCs w:val="24"/>
        </w:rPr>
        <w:t xml:space="preserve"> est une SAS </w:t>
      </w:r>
      <w:r w:rsidR="00043680">
        <w:rPr>
          <w:sz w:val="24"/>
          <w:szCs w:val="24"/>
        </w:rPr>
        <w:t xml:space="preserve">créée en 2015, </w:t>
      </w:r>
      <w:r w:rsidRPr="00194F8B">
        <w:rPr>
          <w:sz w:val="24"/>
          <w:szCs w:val="24"/>
        </w:rPr>
        <w:t xml:space="preserve">employant 50 salariés pour un chiffre d’affaires annuel de </w:t>
      </w:r>
      <w:r w:rsidR="00043680">
        <w:rPr>
          <w:sz w:val="24"/>
          <w:szCs w:val="24"/>
        </w:rPr>
        <w:t>53</w:t>
      </w:r>
      <w:r w:rsidRPr="00194F8B">
        <w:rPr>
          <w:sz w:val="24"/>
          <w:szCs w:val="24"/>
        </w:rPr>
        <w:t xml:space="preserve"> millions d’euros</w:t>
      </w:r>
      <w:r>
        <w:rPr>
          <w:sz w:val="24"/>
          <w:szCs w:val="24"/>
        </w:rPr>
        <w:t> ?</w:t>
      </w:r>
    </w:p>
    <w:sectPr w:rsidR="00803873" w:rsidRPr="008038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CB0"/>
    <w:rsid w:val="00043680"/>
    <w:rsid w:val="005769D4"/>
    <w:rsid w:val="00803873"/>
    <w:rsid w:val="00C87CB0"/>
    <w:rsid w:val="00E552F0"/>
    <w:rsid w:val="00EC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C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C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615</Words>
  <Characters>3388</Characters>
  <Application>Microsoft Office Word</Application>
  <DocSecurity>4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Administrateur</cp:lastModifiedBy>
  <cp:revision>2</cp:revision>
  <dcterms:created xsi:type="dcterms:W3CDTF">2018-01-10T08:41:00Z</dcterms:created>
  <dcterms:modified xsi:type="dcterms:W3CDTF">2018-01-10T08:41:00Z</dcterms:modified>
</cp:coreProperties>
</file>