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E268E" w14:textId="77777777" w:rsidR="00944A74" w:rsidRDefault="00944A74" w:rsidP="00944A74">
      <w:pPr>
        <w:widowControl w:val="0"/>
        <w:autoSpaceDE w:val="0"/>
        <w:autoSpaceDN w:val="0"/>
        <w:adjustRightInd w:val="0"/>
        <w:rPr>
          <w:sz w:val="3"/>
          <w:szCs w:val="3"/>
        </w:rPr>
      </w:pPr>
    </w:p>
    <w:p w14:paraId="65BA0155" w14:textId="77777777" w:rsidR="00944A74" w:rsidRDefault="00944A74" w:rsidP="00944A74">
      <w:pPr>
        <w:widowControl w:val="0"/>
        <w:tabs>
          <w:tab w:val="center" w:pos="4819"/>
          <w:tab w:val="right" w:pos="9582"/>
        </w:tabs>
        <w:autoSpaceDE w:val="0"/>
        <w:autoSpaceDN w:val="0"/>
        <w:adjustRightInd w:val="0"/>
        <w:rPr>
          <w:rFonts w:ascii="Arial" w:hAnsi="Arial" w:cs="Arial"/>
          <w:b/>
          <w:bCs/>
          <w:color w:val="000000"/>
        </w:rPr>
      </w:pPr>
      <w:r>
        <w:tab/>
      </w:r>
      <w:r>
        <w:rPr>
          <w:rFonts w:ascii="Arial" w:hAnsi="Arial" w:cs="Arial"/>
          <w:b/>
          <w:bCs/>
          <w:color w:val="008000"/>
          <w:u w:val="single"/>
        </w:rPr>
        <w:t xml:space="preserve">Université </w:t>
      </w:r>
      <w:r w:rsidR="00BD1EC3">
        <w:rPr>
          <w:rFonts w:ascii="Arial" w:hAnsi="Arial" w:cs="Arial"/>
          <w:b/>
          <w:bCs/>
          <w:color w:val="008000"/>
          <w:u w:val="single"/>
        </w:rPr>
        <w:t xml:space="preserve">PARIS - </w:t>
      </w:r>
      <w:r>
        <w:rPr>
          <w:rFonts w:ascii="Arial" w:hAnsi="Arial" w:cs="Arial"/>
          <w:b/>
          <w:bCs/>
          <w:color w:val="008000"/>
          <w:u w:val="single"/>
        </w:rPr>
        <w:t>PANTHÉON - ASSAS</w:t>
      </w:r>
      <w:r>
        <w:tab/>
      </w:r>
      <w:r w:rsidR="00325FF0" w:rsidRPr="00AB6A7C">
        <w:rPr>
          <w:rFonts w:ascii="Arial" w:hAnsi="Arial" w:cs="Arial"/>
          <w:b/>
          <w:bCs/>
          <w:color w:val="000000"/>
        </w:rPr>
        <w:t>U</w:t>
      </w:r>
      <w:r w:rsidR="00AB6A7C">
        <w:rPr>
          <w:rFonts w:ascii="Arial" w:hAnsi="Arial" w:cs="Arial"/>
          <w:b/>
          <w:bCs/>
          <w:color w:val="000000"/>
        </w:rPr>
        <w:t>.</w:t>
      </w:r>
      <w:r w:rsidR="004F6AF8" w:rsidRPr="00AB6A7C">
        <w:rPr>
          <w:rFonts w:ascii="Arial" w:hAnsi="Arial" w:cs="Arial"/>
          <w:b/>
          <w:bCs/>
          <w:color w:val="000000"/>
        </w:rPr>
        <w:t>E</w:t>
      </w:r>
      <w:r w:rsidR="00AB6A7C">
        <w:rPr>
          <w:rFonts w:ascii="Arial" w:hAnsi="Arial" w:cs="Arial"/>
          <w:b/>
          <w:bCs/>
          <w:color w:val="000000"/>
        </w:rPr>
        <w:t>.</w:t>
      </w:r>
      <w:r w:rsidR="00AB6A7C" w:rsidRPr="00AB6A7C">
        <w:rPr>
          <w:rFonts w:ascii="Arial" w:hAnsi="Arial" w:cs="Arial"/>
          <w:b/>
          <w:bCs/>
          <w:color w:val="000000"/>
        </w:rPr>
        <w:t>C</w:t>
      </w:r>
      <w:r w:rsidR="00E83D83">
        <w:rPr>
          <w:rFonts w:ascii="Arial" w:hAnsi="Arial" w:cs="Arial"/>
          <w:b/>
          <w:bCs/>
          <w:color w:val="000000"/>
        </w:rPr>
        <w:t>. 1</w:t>
      </w:r>
    </w:p>
    <w:p w14:paraId="2BD1FB83" w14:textId="77777777" w:rsidR="00944A74" w:rsidRDefault="00944A74" w:rsidP="00944A74">
      <w:pPr>
        <w:widowControl w:val="0"/>
        <w:autoSpaceDE w:val="0"/>
        <w:autoSpaceDN w:val="0"/>
        <w:adjustRightInd w:val="0"/>
        <w:rPr>
          <w:rFonts w:ascii="Arial" w:hAnsi="Arial" w:cs="Arial"/>
          <w:b/>
          <w:bCs/>
          <w:color w:val="000000"/>
          <w:sz w:val="20"/>
          <w:szCs w:val="20"/>
        </w:rPr>
      </w:pPr>
    </w:p>
    <w:p w14:paraId="31AA9E11" w14:textId="77777777" w:rsidR="00944A74" w:rsidRDefault="00944A74" w:rsidP="00944A74">
      <w:pPr>
        <w:widowControl w:val="0"/>
        <w:autoSpaceDE w:val="0"/>
        <w:autoSpaceDN w:val="0"/>
        <w:adjustRightInd w:val="0"/>
        <w:rPr>
          <w:rFonts w:ascii="Arial" w:hAnsi="Arial" w:cs="Arial"/>
          <w:b/>
          <w:bCs/>
          <w:color w:val="000000"/>
          <w:sz w:val="8"/>
          <w:szCs w:val="8"/>
        </w:rPr>
      </w:pPr>
    </w:p>
    <w:p w14:paraId="797EC4F8" w14:textId="15349D79" w:rsidR="00944A74" w:rsidRPr="00917AE7" w:rsidRDefault="00944A74" w:rsidP="00944A74">
      <w:pPr>
        <w:widowControl w:val="0"/>
        <w:tabs>
          <w:tab w:val="center" w:pos="4821"/>
          <w:tab w:val="right" w:pos="9582"/>
        </w:tabs>
        <w:autoSpaceDE w:val="0"/>
        <w:autoSpaceDN w:val="0"/>
        <w:adjustRightInd w:val="0"/>
      </w:pPr>
      <w:r>
        <w:tab/>
      </w:r>
      <w:r w:rsidR="00917AE7">
        <w:t xml:space="preserve">    </w:t>
      </w:r>
      <w:r>
        <w:rPr>
          <w:rFonts w:ascii="Arial" w:hAnsi="Arial" w:cs="Arial"/>
          <w:b/>
          <w:bCs/>
          <w:color w:val="800000"/>
          <w:u w:val="single"/>
        </w:rPr>
        <w:t>Droit - Economie - Sciences Sociales</w:t>
      </w:r>
      <w:r w:rsidR="002E59E9">
        <w:t xml:space="preserve"> </w:t>
      </w:r>
    </w:p>
    <w:p w14:paraId="0F575349" w14:textId="77777777" w:rsidR="00944A74" w:rsidRDefault="00944A74" w:rsidP="00944A74">
      <w:pPr>
        <w:widowControl w:val="0"/>
        <w:autoSpaceDE w:val="0"/>
        <w:autoSpaceDN w:val="0"/>
        <w:adjustRightInd w:val="0"/>
        <w:rPr>
          <w:rFonts w:ascii="Arial" w:hAnsi="Arial" w:cs="Arial"/>
          <w:b/>
          <w:bCs/>
          <w:color w:val="000000"/>
          <w:sz w:val="20"/>
          <w:szCs w:val="20"/>
        </w:rPr>
      </w:pPr>
    </w:p>
    <w:p w14:paraId="2422CE4B" w14:textId="1E89DD03" w:rsidR="00944A74" w:rsidRDefault="002E59E9" w:rsidP="002E59E9">
      <w:pPr>
        <w:widowControl w:val="0"/>
        <w:autoSpaceDE w:val="0"/>
        <w:autoSpaceDN w:val="0"/>
        <w:adjustRightInd w:val="0"/>
        <w:jc w:val="right"/>
        <w:rPr>
          <w:rFonts w:ascii="Arial" w:hAnsi="Arial" w:cs="Arial"/>
          <w:b/>
          <w:bCs/>
          <w:color w:val="000000"/>
          <w:sz w:val="15"/>
          <w:szCs w:val="15"/>
        </w:rPr>
      </w:pPr>
      <w:r>
        <w:t>G17038AT</w:t>
      </w:r>
    </w:p>
    <w:p w14:paraId="6650E49E" w14:textId="77777777" w:rsidR="00944A74" w:rsidRDefault="00944A74" w:rsidP="00944A74">
      <w:pPr>
        <w:widowControl w:val="0"/>
        <w:tabs>
          <w:tab w:val="left" w:pos="62"/>
        </w:tabs>
        <w:autoSpaceDE w:val="0"/>
        <w:autoSpaceDN w:val="0"/>
        <w:adjustRightInd w:val="0"/>
        <w:rPr>
          <w:rFonts w:ascii="Arial" w:hAnsi="Arial" w:cs="Arial"/>
          <w:color w:val="000000"/>
        </w:rPr>
      </w:pPr>
      <w:r>
        <w:tab/>
      </w:r>
      <w:r w:rsidR="004F6AF8">
        <w:rPr>
          <w:rFonts w:ascii="Arial" w:hAnsi="Arial" w:cs="Arial"/>
          <w:color w:val="000000"/>
        </w:rPr>
        <w:t>Paris</w:t>
      </w:r>
    </w:p>
    <w:p w14:paraId="485F6547" w14:textId="77777777" w:rsidR="00944A74" w:rsidRDefault="00944A74" w:rsidP="00944A74">
      <w:pPr>
        <w:widowControl w:val="0"/>
        <w:autoSpaceDE w:val="0"/>
        <w:autoSpaceDN w:val="0"/>
        <w:adjustRightInd w:val="0"/>
        <w:rPr>
          <w:rFonts w:ascii="Arial" w:hAnsi="Arial" w:cs="Arial"/>
          <w:color w:val="000000"/>
          <w:sz w:val="20"/>
          <w:szCs w:val="20"/>
        </w:rPr>
      </w:pPr>
    </w:p>
    <w:p w14:paraId="0EBD3381" w14:textId="77777777" w:rsidR="00944A74" w:rsidRDefault="00944A74" w:rsidP="00944A74">
      <w:pPr>
        <w:widowControl w:val="0"/>
        <w:autoSpaceDE w:val="0"/>
        <w:autoSpaceDN w:val="0"/>
        <w:adjustRightInd w:val="0"/>
        <w:rPr>
          <w:rFonts w:ascii="Arial" w:hAnsi="Arial" w:cs="Arial"/>
          <w:color w:val="000000"/>
          <w:sz w:val="20"/>
          <w:szCs w:val="20"/>
        </w:rPr>
      </w:pPr>
    </w:p>
    <w:p w14:paraId="0B6DA61F" w14:textId="77777777" w:rsidR="00944A74" w:rsidRDefault="00944A74" w:rsidP="00944A74">
      <w:pPr>
        <w:widowControl w:val="0"/>
        <w:autoSpaceDE w:val="0"/>
        <w:autoSpaceDN w:val="0"/>
        <w:adjustRightInd w:val="0"/>
        <w:rPr>
          <w:rFonts w:ascii="Arial" w:hAnsi="Arial" w:cs="Arial"/>
          <w:color w:val="000000"/>
          <w:sz w:val="6"/>
          <w:szCs w:val="6"/>
        </w:rPr>
      </w:pPr>
    </w:p>
    <w:p w14:paraId="088AA6F7" w14:textId="77777777" w:rsidR="00944A74" w:rsidRDefault="00944A74" w:rsidP="00944A74">
      <w:pPr>
        <w:widowControl w:val="0"/>
        <w:tabs>
          <w:tab w:val="left" w:pos="56"/>
          <w:tab w:val="left" w:pos="2688"/>
        </w:tabs>
        <w:autoSpaceDE w:val="0"/>
        <w:autoSpaceDN w:val="0"/>
        <w:adjustRightInd w:val="0"/>
        <w:rPr>
          <w:rFonts w:ascii="Arial" w:hAnsi="Arial" w:cs="Arial"/>
          <w:color w:val="000000"/>
        </w:rPr>
      </w:pPr>
      <w:r>
        <w:tab/>
      </w:r>
      <w:r>
        <w:rPr>
          <w:rFonts w:ascii="Arial" w:hAnsi="Arial" w:cs="Arial"/>
          <w:b/>
          <w:bCs/>
          <w:color w:val="000000"/>
        </w:rPr>
        <w:t xml:space="preserve">Session : </w:t>
      </w:r>
      <w:r>
        <w:tab/>
      </w:r>
      <w:r w:rsidR="00333559">
        <w:rPr>
          <w:rFonts w:ascii="Arial" w:hAnsi="Arial" w:cs="Arial"/>
          <w:color w:val="000000"/>
        </w:rPr>
        <w:t>Janvier 2023</w:t>
      </w:r>
      <w:r w:rsidR="00E74A4F">
        <w:rPr>
          <w:rFonts w:ascii="Arial" w:hAnsi="Arial" w:cs="Arial"/>
          <w:color w:val="000000"/>
        </w:rPr>
        <w:t xml:space="preserve"> – 1</w:t>
      </w:r>
      <w:r w:rsidR="00E74A4F" w:rsidRPr="00E74A4F">
        <w:rPr>
          <w:rFonts w:ascii="Arial" w:hAnsi="Arial" w:cs="Arial"/>
          <w:color w:val="000000"/>
          <w:vertAlign w:val="superscript"/>
        </w:rPr>
        <w:t>er</w:t>
      </w:r>
      <w:r w:rsidR="00E74A4F">
        <w:rPr>
          <w:rFonts w:ascii="Arial" w:hAnsi="Arial" w:cs="Arial"/>
          <w:color w:val="000000"/>
        </w:rPr>
        <w:t xml:space="preserve"> semestre</w:t>
      </w:r>
    </w:p>
    <w:p w14:paraId="4A3411F2" w14:textId="77777777" w:rsidR="00944A74" w:rsidRDefault="00944A74" w:rsidP="00944A74">
      <w:pPr>
        <w:widowControl w:val="0"/>
        <w:autoSpaceDE w:val="0"/>
        <w:autoSpaceDN w:val="0"/>
        <w:adjustRightInd w:val="0"/>
        <w:rPr>
          <w:rFonts w:ascii="Arial" w:hAnsi="Arial" w:cs="Arial"/>
          <w:color w:val="000000"/>
          <w:sz w:val="20"/>
          <w:szCs w:val="20"/>
        </w:rPr>
      </w:pPr>
    </w:p>
    <w:p w14:paraId="4AA13DF1" w14:textId="77777777" w:rsidR="00944A74" w:rsidRDefault="00944A74" w:rsidP="00944A74">
      <w:pPr>
        <w:widowControl w:val="0"/>
        <w:autoSpaceDE w:val="0"/>
        <w:autoSpaceDN w:val="0"/>
        <w:adjustRightInd w:val="0"/>
        <w:rPr>
          <w:rFonts w:ascii="Arial" w:hAnsi="Arial" w:cs="Arial"/>
          <w:color w:val="000000"/>
          <w:sz w:val="20"/>
          <w:szCs w:val="20"/>
        </w:rPr>
      </w:pPr>
    </w:p>
    <w:p w14:paraId="26D215E7" w14:textId="77777777" w:rsidR="00944A74" w:rsidRDefault="00944A74" w:rsidP="00944A74">
      <w:pPr>
        <w:widowControl w:val="0"/>
        <w:autoSpaceDE w:val="0"/>
        <w:autoSpaceDN w:val="0"/>
        <w:adjustRightInd w:val="0"/>
        <w:rPr>
          <w:rFonts w:ascii="Arial" w:hAnsi="Arial" w:cs="Arial"/>
          <w:color w:val="000000"/>
          <w:sz w:val="10"/>
          <w:szCs w:val="10"/>
        </w:rPr>
      </w:pPr>
    </w:p>
    <w:p w14:paraId="649F001B" w14:textId="35A119DA" w:rsidR="00944A74" w:rsidRPr="00E83D83" w:rsidRDefault="00944A74" w:rsidP="00944A74">
      <w:pPr>
        <w:widowControl w:val="0"/>
        <w:tabs>
          <w:tab w:val="left" w:pos="56"/>
          <w:tab w:val="left" w:pos="2688"/>
        </w:tabs>
        <w:autoSpaceDE w:val="0"/>
        <w:autoSpaceDN w:val="0"/>
        <w:adjustRightInd w:val="0"/>
        <w:rPr>
          <w:rFonts w:asciiTheme="minorHAnsi" w:hAnsiTheme="minorHAnsi" w:cstheme="minorHAnsi"/>
          <w:color w:val="000000"/>
        </w:rPr>
      </w:pPr>
      <w:r>
        <w:tab/>
      </w:r>
      <w:r>
        <w:rPr>
          <w:rFonts w:ascii="Arial" w:hAnsi="Arial" w:cs="Arial"/>
          <w:b/>
          <w:bCs/>
          <w:color w:val="000000"/>
        </w:rPr>
        <w:t xml:space="preserve">Année d'étude : </w:t>
      </w:r>
      <w:r>
        <w:tab/>
      </w:r>
      <w:r w:rsidR="00917AE7">
        <w:t>MAGISTERE JA1</w:t>
      </w:r>
    </w:p>
    <w:p w14:paraId="42D3E6B2" w14:textId="77777777" w:rsidR="00944A74" w:rsidRDefault="00944A74" w:rsidP="00944A74">
      <w:pPr>
        <w:widowControl w:val="0"/>
        <w:autoSpaceDE w:val="0"/>
        <w:autoSpaceDN w:val="0"/>
        <w:adjustRightInd w:val="0"/>
        <w:rPr>
          <w:rFonts w:ascii="Arial" w:hAnsi="Arial" w:cs="Arial"/>
          <w:color w:val="000000"/>
          <w:sz w:val="20"/>
          <w:szCs w:val="20"/>
        </w:rPr>
      </w:pPr>
    </w:p>
    <w:p w14:paraId="5646212A" w14:textId="77777777" w:rsidR="00944A74" w:rsidRDefault="00944A74" w:rsidP="00944A74">
      <w:pPr>
        <w:widowControl w:val="0"/>
        <w:autoSpaceDE w:val="0"/>
        <w:autoSpaceDN w:val="0"/>
        <w:adjustRightInd w:val="0"/>
        <w:rPr>
          <w:rFonts w:ascii="Arial" w:hAnsi="Arial" w:cs="Arial"/>
          <w:color w:val="000000"/>
          <w:sz w:val="20"/>
          <w:szCs w:val="20"/>
        </w:rPr>
      </w:pPr>
    </w:p>
    <w:p w14:paraId="5B7334AD" w14:textId="77777777" w:rsidR="00944A74" w:rsidRDefault="00944A74" w:rsidP="00944A74">
      <w:pPr>
        <w:widowControl w:val="0"/>
        <w:autoSpaceDE w:val="0"/>
        <w:autoSpaceDN w:val="0"/>
        <w:adjustRightInd w:val="0"/>
        <w:rPr>
          <w:rFonts w:ascii="Arial" w:hAnsi="Arial" w:cs="Arial"/>
          <w:color w:val="000000"/>
          <w:sz w:val="12"/>
          <w:szCs w:val="12"/>
        </w:rPr>
      </w:pPr>
    </w:p>
    <w:p w14:paraId="6DB8CAAE" w14:textId="20B31110" w:rsidR="00944A74" w:rsidRPr="00917AE7" w:rsidRDefault="00944A74" w:rsidP="00944A74">
      <w:pPr>
        <w:widowControl w:val="0"/>
        <w:tabs>
          <w:tab w:val="left" w:pos="56"/>
          <w:tab w:val="left" w:pos="2688"/>
        </w:tabs>
        <w:autoSpaceDE w:val="0"/>
        <w:autoSpaceDN w:val="0"/>
        <w:adjustRightInd w:val="0"/>
        <w:rPr>
          <w:rFonts w:ascii="Arial" w:hAnsi="Arial" w:cs="Arial"/>
          <w:b/>
          <w:bCs/>
          <w:i/>
          <w:iCs/>
          <w:color w:val="000000"/>
        </w:rPr>
      </w:pPr>
      <w:r>
        <w:tab/>
      </w:r>
      <w:r>
        <w:rPr>
          <w:rFonts w:ascii="Arial" w:hAnsi="Arial" w:cs="Arial"/>
          <w:b/>
          <w:bCs/>
          <w:color w:val="000000"/>
        </w:rPr>
        <w:t xml:space="preserve">Discipline : </w:t>
      </w:r>
      <w:r>
        <w:tab/>
      </w:r>
      <w:r w:rsidR="00917AE7" w:rsidRPr="00F35018">
        <w:rPr>
          <w:rFonts w:ascii="Arial" w:hAnsi="Arial" w:cs="Arial"/>
        </w:rPr>
        <w:t>Droit anglais magistère 1è année Juriste d'Affaires</w:t>
      </w:r>
    </w:p>
    <w:p w14:paraId="65445C63" w14:textId="77777777" w:rsidR="00944A74" w:rsidRDefault="00944A74" w:rsidP="00944A74">
      <w:pPr>
        <w:widowControl w:val="0"/>
        <w:autoSpaceDE w:val="0"/>
        <w:autoSpaceDN w:val="0"/>
        <w:adjustRightInd w:val="0"/>
        <w:rPr>
          <w:b/>
          <w:bCs/>
          <w:i/>
          <w:iCs/>
          <w:color w:val="000000"/>
          <w:sz w:val="8"/>
          <w:szCs w:val="8"/>
        </w:rPr>
      </w:pPr>
    </w:p>
    <w:p w14:paraId="0A992074" w14:textId="77777777" w:rsidR="00CD2095" w:rsidRPr="00254799" w:rsidRDefault="00CD2095" w:rsidP="00CD2095">
      <w:pPr>
        <w:widowControl w:val="0"/>
        <w:tabs>
          <w:tab w:val="left" w:pos="2688"/>
        </w:tabs>
        <w:autoSpaceDE w:val="0"/>
        <w:autoSpaceDN w:val="0"/>
        <w:adjustRightInd w:val="0"/>
        <w:rPr>
          <w:rFonts w:ascii="Arial" w:hAnsi="Arial" w:cs="Arial"/>
          <w:color w:val="000000"/>
          <w:sz w:val="20"/>
          <w:szCs w:val="20"/>
        </w:rPr>
      </w:pPr>
      <w:r w:rsidRPr="00254799">
        <w:rPr>
          <w:sz w:val="20"/>
          <w:szCs w:val="20"/>
        </w:rPr>
        <w:tab/>
      </w:r>
      <w:r w:rsidRPr="00AB6A7C">
        <w:rPr>
          <w:sz w:val="20"/>
          <w:szCs w:val="20"/>
        </w:rPr>
        <w:t xml:space="preserve">(Unités d’Enseignements </w:t>
      </w:r>
      <w:r w:rsidR="00AB6A7C" w:rsidRPr="00AB6A7C">
        <w:rPr>
          <w:sz w:val="20"/>
          <w:szCs w:val="20"/>
        </w:rPr>
        <w:t>Complémentaires</w:t>
      </w:r>
      <w:r w:rsidR="00E83D83">
        <w:rPr>
          <w:sz w:val="20"/>
          <w:szCs w:val="20"/>
        </w:rPr>
        <w:t xml:space="preserve"> 1</w:t>
      </w:r>
      <w:r w:rsidRPr="00AB6A7C">
        <w:rPr>
          <w:sz w:val="20"/>
          <w:szCs w:val="20"/>
        </w:rPr>
        <w:t>)</w:t>
      </w:r>
    </w:p>
    <w:p w14:paraId="2F7EB77E" w14:textId="77777777" w:rsidR="00944A74" w:rsidRDefault="00944A74" w:rsidP="00944A74">
      <w:pPr>
        <w:widowControl w:val="0"/>
        <w:tabs>
          <w:tab w:val="left" w:pos="2688"/>
        </w:tabs>
        <w:autoSpaceDE w:val="0"/>
        <w:autoSpaceDN w:val="0"/>
        <w:adjustRightInd w:val="0"/>
        <w:rPr>
          <w:rFonts w:ascii="Arial" w:hAnsi="Arial" w:cs="Arial"/>
          <w:color w:val="000000"/>
          <w:sz w:val="16"/>
          <w:szCs w:val="16"/>
        </w:rPr>
      </w:pPr>
    </w:p>
    <w:p w14:paraId="2B521CD7" w14:textId="77777777" w:rsidR="00944A74" w:rsidRDefault="00944A74" w:rsidP="00944A74">
      <w:pPr>
        <w:widowControl w:val="0"/>
        <w:autoSpaceDE w:val="0"/>
        <w:autoSpaceDN w:val="0"/>
        <w:adjustRightInd w:val="0"/>
        <w:rPr>
          <w:rFonts w:ascii="Arial" w:hAnsi="Arial" w:cs="Arial"/>
          <w:color w:val="000000"/>
          <w:sz w:val="20"/>
          <w:szCs w:val="20"/>
        </w:rPr>
      </w:pPr>
    </w:p>
    <w:p w14:paraId="08292333" w14:textId="77777777" w:rsidR="00944A74" w:rsidRDefault="00944A74" w:rsidP="00944A74">
      <w:pPr>
        <w:widowControl w:val="0"/>
        <w:autoSpaceDE w:val="0"/>
        <w:autoSpaceDN w:val="0"/>
        <w:adjustRightInd w:val="0"/>
        <w:rPr>
          <w:rFonts w:ascii="Arial" w:hAnsi="Arial" w:cs="Arial"/>
          <w:color w:val="000000"/>
          <w:sz w:val="15"/>
          <w:szCs w:val="15"/>
        </w:rPr>
      </w:pPr>
    </w:p>
    <w:p w14:paraId="44811A44" w14:textId="01FF492C" w:rsidR="00917AE7" w:rsidRPr="00917AE7" w:rsidRDefault="00944A74" w:rsidP="006E78FF">
      <w:pPr>
        <w:widowControl w:val="0"/>
        <w:tabs>
          <w:tab w:val="left" w:pos="56"/>
          <w:tab w:val="left" w:pos="2694"/>
        </w:tabs>
        <w:autoSpaceDE w:val="0"/>
        <w:autoSpaceDN w:val="0"/>
        <w:adjustRightInd w:val="0"/>
        <w:rPr>
          <w:rFonts w:ascii="Arial" w:hAnsi="Arial" w:cs="Arial"/>
          <w:color w:val="000000"/>
        </w:rPr>
      </w:pPr>
      <w:r>
        <w:tab/>
      </w:r>
      <w:r>
        <w:rPr>
          <w:rFonts w:ascii="Arial" w:hAnsi="Arial" w:cs="Arial"/>
          <w:b/>
          <w:bCs/>
          <w:color w:val="000000"/>
        </w:rPr>
        <w:t xml:space="preserve">Titulaire(s) du cours : </w:t>
      </w:r>
      <w:r w:rsidR="006E78FF">
        <w:rPr>
          <w:rFonts w:ascii="Arial" w:hAnsi="Arial" w:cs="Arial"/>
          <w:b/>
          <w:bCs/>
          <w:color w:val="000000"/>
        </w:rPr>
        <w:tab/>
      </w:r>
      <w:r w:rsidR="00917AE7" w:rsidRPr="00917AE7">
        <w:rPr>
          <w:rFonts w:ascii="Arial" w:hAnsi="Arial" w:cs="Arial"/>
          <w:color w:val="000000"/>
        </w:rPr>
        <w:t>Mme Juliette Ringeisen</w:t>
      </w:r>
      <w:r w:rsidR="00917AE7">
        <w:rPr>
          <w:rFonts w:ascii="Arial" w:hAnsi="Arial" w:cs="Arial"/>
          <w:color w:val="000000"/>
        </w:rPr>
        <w:t>-</w:t>
      </w:r>
      <w:r w:rsidR="00917AE7" w:rsidRPr="00917AE7">
        <w:rPr>
          <w:rFonts w:ascii="Arial" w:hAnsi="Arial" w:cs="Arial"/>
          <w:color w:val="000000"/>
        </w:rPr>
        <w:t>Biardeaud</w:t>
      </w:r>
      <w:r w:rsidR="00917AE7">
        <w:rPr>
          <w:rFonts w:ascii="Arial" w:hAnsi="Arial" w:cs="Arial"/>
          <w:color w:val="000000"/>
        </w:rPr>
        <w:t xml:space="preserve"> et </w:t>
      </w:r>
      <w:r w:rsidR="00917AE7" w:rsidRPr="00917AE7">
        <w:rPr>
          <w:rFonts w:ascii="Arial" w:hAnsi="Arial" w:cs="Arial"/>
          <w:color w:val="000000"/>
        </w:rPr>
        <w:t>Mme Claire Wrobel</w:t>
      </w:r>
    </w:p>
    <w:p w14:paraId="5A4E2EEA" w14:textId="77777777" w:rsidR="00944A74" w:rsidRDefault="00944A74" w:rsidP="00944A74">
      <w:pPr>
        <w:widowControl w:val="0"/>
        <w:autoSpaceDE w:val="0"/>
        <w:autoSpaceDN w:val="0"/>
        <w:adjustRightInd w:val="0"/>
        <w:rPr>
          <w:rFonts w:ascii="Arial" w:hAnsi="Arial" w:cs="Arial"/>
          <w:b/>
          <w:bCs/>
          <w:color w:val="000000"/>
          <w:sz w:val="10"/>
          <w:szCs w:val="10"/>
        </w:rPr>
      </w:pPr>
    </w:p>
    <w:p w14:paraId="046AA8F1" w14:textId="77777777" w:rsidR="00944A74" w:rsidRDefault="00944A74" w:rsidP="00944A74">
      <w:pPr>
        <w:widowControl w:val="0"/>
        <w:tabs>
          <w:tab w:val="left" w:pos="2509"/>
        </w:tabs>
        <w:autoSpaceDE w:val="0"/>
        <w:autoSpaceDN w:val="0"/>
        <w:adjustRightInd w:val="0"/>
        <w:rPr>
          <w:rFonts w:ascii="Arial" w:hAnsi="Arial" w:cs="Arial"/>
          <w:color w:val="000000"/>
        </w:rPr>
      </w:pPr>
      <w:r>
        <w:tab/>
      </w:r>
    </w:p>
    <w:p w14:paraId="0ADFE88A" w14:textId="77777777" w:rsidR="00944A74" w:rsidRDefault="00944A74" w:rsidP="00944A74">
      <w:pPr>
        <w:widowControl w:val="0"/>
        <w:autoSpaceDE w:val="0"/>
        <w:autoSpaceDN w:val="0"/>
        <w:adjustRightInd w:val="0"/>
        <w:rPr>
          <w:rFonts w:ascii="Arial" w:hAnsi="Arial" w:cs="Arial"/>
          <w:color w:val="000000"/>
          <w:sz w:val="20"/>
          <w:szCs w:val="20"/>
        </w:rPr>
      </w:pPr>
    </w:p>
    <w:p w14:paraId="4AE8B872" w14:textId="257146AE" w:rsidR="00110FE2" w:rsidRPr="00110FE2" w:rsidRDefault="00110FE2" w:rsidP="006E78FF">
      <w:pPr>
        <w:widowControl w:val="0"/>
        <w:tabs>
          <w:tab w:val="left" w:pos="56"/>
          <w:tab w:val="left" w:pos="2694"/>
        </w:tabs>
        <w:autoSpaceDE w:val="0"/>
        <w:autoSpaceDN w:val="0"/>
        <w:adjustRightInd w:val="0"/>
        <w:rPr>
          <w:rFonts w:ascii="Arial" w:hAnsi="Arial" w:cs="Arial"/>
          <w:b/>
        </w:rPr>
      </w:pPr>
      <w:r w:rsidRPr="00110FE2">
        <w:rPr>
          <w:rFonts w:ascii="Arial" w:hAnsi="Arial" w:cs="Arial"/>
          <w:b/>
        </w:rPr>
        <w:t xml:space="preserve">Durée de l’épreuve : </w:t>
      </w:r>
      <w:r w:rsidR="006E78FF">
        <w:rPr>
          <w:rFonts w:ascii="Arial" w:hAnsi="Arial" w:cs="Arial"/>
          <w:b/>
        </w:rPr>
        <w:tab/>
      </w:r>
      <w:r w:rsidR="00917AE7" w:rsidRPr="00917AE7">
        <w:rPr>
          <w:rFonts w:ascii="Arial" w:hAnsi="Arial" w:cs="Arial"/>
          <w:bCs/>
        </w:rPr>
        <w:t>1h30</w:t>
      </w:r>
    </w:p>
    <w:p w14:paraId="5CF8BDBC" w14:textId="77777777" w:rsidR="00110FE2" w:rsidRDefault="00110FE2" w:rsidP="00944A74">
      <w:pPr>
        <w:widowControl w:val="0"/>
        <w:tabs>
          <w:tab w:val="left" w:pos="56"/>
        </w:tabs>
        <w:autoSpaceDE w:val="0"/>
        <w:autoSpaceDN w:val="0"/>
        <w:adjustRightInd w:val="0"/>
      </w:pPr>
    </w:p>
    <w:p w14:paraId="4D93CAB6" w14:textId="77777777" w:rsidR="00AE726E" w:rsidRDefault="00AE726E" w:rsidP="00944A74">
      <w:pPr>
        <w:widowControl w:val="0"/>
        <w:tabs>
          <w:tab w:val="left" w:pos="56"/>
        </w:tabs>
        <w:autoSpaceDE w:val="0"/>
        <w:autoSpaceDN w:val="0"/>
        <w:adjustRightInd w:val="0"/>
      </w:pPr>
    </w:p>
    <w:p w14:paraId="39D473CC" w14:textId="11B6DC0E" w:rsidR="00944A74" w:rsidRDefault="00944A74" w:rsidP="00944A74">
      <w:pPr>
        <w:widowControl w:val="0"/>
        <w:tabs>
          <w:tab w:val="left" w:pos="56"/>
        </w:tabs>
        <w:autoSpaceDE w:val="0"/>
        <w:autoSpaceDN w:val="0"/>
        <w:adjustRightInd w:val="0"/>
        <w:rPr>
          <w:rFonts w:ascii="Arial" w:hAnsi="Arial" w:cs="Arial"/>
          <w:b/>
          <w:bCs/>
          <w:color w:val="000000"/>
        </w:rPr>
      </w:pPr>
      <w:r>
        <w:rPr>
          <w:rFonts w:ascii="Arial" w:hAnsi="Arial" w:cs="Arial"/>
          <w:b/>
          <w:bCs/>
          <w:color w:val="000000"/>
        </w:rPr>
        <w:t xml:space="preserve">Document(s) autorisé(s) : </w:t>
      </w:r>
      <w:r w:rsidR="00917AE7" w:rsidRPr="00917AE7">
        <w:rPr>
          <w:rFonts w:ascii="Arial" w:hAnsi="Arial" w:cs="Arial"/>
          <w:color w:val="000000"/>
        </w:rPr>
        <w:t>Aucun</w:t>
      </w:r>
    </w:p>
    <w:p w14:paraId="266B1E1F" w14:textId="77777777" w:rsidR="00C62AB8" w:rsidRDefault="00C62AB8" w:rsidP="00C62AB8"/>
    <w:p w14:paraId="766F49E6" w14:textId="77777777" w:rsidR="00944A74" w:rsidRDefault="00944A74" w:rsidP="00C62AB8"/>
    <w:p w14:paraId="2672F710" w14:textId="1A6B99AB" w:rsidR="00496A9E" w:rsidRDefault="00496A9E" w:rsidP="00496A9E">
      <w:pPr>
        <w:jc w:val="center"/>
        <w:rPr>
          <w:rFonts w:ascii="Arial" w:hAnsi="Arial" w:cs="Arial"/>
          <w:i/>
          <w:sz w:val="22"/>
          <w:szCs w:val="22"/>
        </w:rPr>
      </w:pPr>
      <w:r w:rsidRPr="00A44087">
        <w:rPr>
          <w:rFonts w:ascii="Arial" w:hAnsi="Arial" w:cs="Arial"/>
          <w:i/>
          <w:sz w:val="22"/>
          <w:szCs w:val="22"/>
        </w:rPr>
        <w:t xml:space="preserve">Ce sujet comporte </w:t>
      </w:r>
      <w:r w:rsidR="00917AE7">
        <w:rPr>
          <w:rFonts w:ascii="Arial" w:hAnsi="Arial" w:cs="Arial"/>
          <w:i/>
          <w:sz w:val="22"/>
          <w:szCs w:val="22"/>
        </w:rPr>
        <w:t>2</w:t>
      </w:r>
      <w:r w:rsidRPr="00A44087">
        <w:rPr>
          <w:rFonts w:ascii="Arial" w:hAnsi="Arial" w:cs="Arial"/>
          <w:i/>
          <w:sz w:val="22"/>
          <w:szCs w:val="22"/>
        </w:rPr>
        <w:t xml:space="preserve"> pages. Avant de composer, veuillez vérifier que votre sujet est complet.</w:t>
      </w:r>
    </w:p>
    <w:p w14:paraId="2CF2E36E" w14:textId="7D0BB02D" w:rsidR="00917AE7" w:rsidRDefault="00917AE7" w:rsidP="00496A9E">
      <w:pPr>
        <w:jc w:val="center"/>
        <w:rPr>
          <w:rFonts w:ascii="Arial" w:hAnsi="Arial" w:cs="Arial"/>
          <w:i/>
          <w:sz w:val="22"/>
          <w:szCs w:val="22"/>
        </w:rPr>
      </w:pPr>
    </w:p>
    <w:p w14:paraId="4472978C" w14:textId="7B2CB098" w:rsidR="00917AE7" w:rsidRDefault="00917AE7" w:rsidP="00496A9E">
      <w:pPr>
        <w:jc w:val="center"/>
        <w:rPr>
          <w:rFonts w:ascii="Arial" w:hAnsi="Arial" w:cs="Arial"/>
          <w:i/>
          <w:sz w:val="22"/>
          <w:szCs w:val="22"/>
        </w:rPr>
      </w:pPr>
    </w:p>
    <w:p w14:paraId="7C7FB625" w14:textId="1F443606" w:rsidR="00917AE7" w:rsidRDefault="001C06EF" w:rsidP="00496A9E">
      <w:pPr>
        <w:jc w:val="center"/>
        <w:rPr>
          <w:rFonts w:ascii="Arial" w:hAnsi="Arial" w:cs="Arial"/>
          <w:i/>
          <w:sz w:val="22"/>
          <w:szCs w:val="22"/>
        </w:rPr>
      </w:pPr>
      <w:r>
        <w:rPr>
          <w:rFonts w:ascii="Arial" w:hAnsi="Arial" w:cs="Arial"/>
          <w:i/>
          <w:sz w:val="22"/>
          <w:szCs w:val="22"/>
        </w:rPr>
        <w:t>****</w:t>
      </w:r>
      <w:bookmarkStart w:id="0" w:name="_GoBack"/>
      <w:bookmarkEnd w:id="0"/>
    </w:p>
    <w:p w14:paraId="5CC6E879" w14:textId="55D14F2F" w:rsidR="00917AE7" w:rsidRDefault="00917AE7" w:rsidP="00496A9E">
      <w:pPr>
        <w:jc w:val="center"/>
        <w:rPr>
          <w:rFonts w:ascii="Arial" w:hAnsi="Arial" w:cs="Arial"/>
          <w:i/>
          <w:sz w:val="22"/>
          <w:szCs w:val="22"/>
        </w:rPr>
      </w:pPr>
    </w:p>
    <w:p w14:paraId="59D7A71F" w14:textId="4133436D" w:rsidR="00917AE7" w:rsidRDefault="00917AE7" w:rsidP="00496A9E">
      <w:pPr>
        <w:jc w:val="center"/>
        <w:rPr>
          <w:rFonts w:ascii="Arial" w:hAnsi="Arial" w:cs="Arial"/>
          <w:i/>
          <w:sz w:val="22"/>
          <w:szCs w:val="22"/>
        </w:rPr>
      </w:pPr>
    </w:p>
    <w:p w14:paraId="66AE8D67" w14:textId="51739C55" w:rsidR="00917AE7" w:rsidRDefault="00917AE7" w:rsidP="00496A9E">
      <w:pPr>
        <w:jc w:val="center"/>
        <w:rPr>
          <w:rFonts w:ascii="Arial" w:hAnsi="Arial" w:cs="Arial"/>
          <w:i/>
          <w:sz w:val="22"/>
          <w:szCs w:val="22"/>
        </w:rPr>
      </w:pPr>
    </w:p>
    <w:p w14:paraId="5B4142A4" w14:textId="77777777" w:rsidR="00917AE7" w:rsidRDefault="00917AE7" w:rsidP="00496A9E">
      <w:pPr>
        <w:jc w:val="center"/>
        <w:rPr>
          <w:rFonts w:ascii="Arial" w:hAnsi="Arial" w:cs="Arial"/>
          <w:i/>
          <w:sz w:val="22"/>
          <w:szCs w:val="22"/>
        </w:rPr>
      </w:pPr>
    </w:p>
    <w:p w14:paraId="6B4D82AB" w14:textId="38A55C0C" w:rsidR="00917AE7" w:rsidRPr="00917AE7" w:rsidRDefault="00917AE7" w:rsidP="00917AE7">
      <w:pPr>
        <w:pStyle w:val="Paragraphedeliste"/>
        <w:numPr>
          <w:ilvl w:val="0"/>
          <w:numId w:val="1"/>
        </w:numPr>
        <w:rPr>
          <w:rFonts w:ascii="Arial" w:hAnsi="Arial" w:cs="Arial"/>
          <w:b/>
          <w:bCs/>
        </w:rPr>
      </w:pPr>
      <w:r w:rsidRPr="00917AE7">
        <w:rPr>
          <w:rFonts w:ascii="Arial" w:hAnsi="Arial" w:cs="Arial"/>
          <w:b/>
          <w:bCs/>
        </w:rPr>
        <w:t xml:space="preserve">ESSAY QUESTION </w:t>
      </w:r>
    </w:p>
    <w:p w14:paraId="43FC1458" w14:textId="77777777" w:rsidR="00917AE7" w:rsidRPr="00917AE7" w:rsidRDefault="00917AE7" w:rsidP="00917AE7">
      <w:pPr>
        <w:pStyle w:val="Paragraphedeliste"/>
        <w:ind w:left="1080"/>
        <w:rPr>
          <w:rFonts w:ascii="Arial" w:hAnsi="Arial" w:cs="Arial"/>
          <w:b/>
          <w:bCs/>
          <w:sz w:val="22"/>
          <w:szCs w:val="22"/>
        </w:rPr>
      </w:pPr>
    </w:p>
    <w:p w14:paraId="179ABE61" w14:textId="46711395" w:rsidR="00917AE7" w:rsidRDefault="00917AE7" w:rsidP="00917AE7">
      <w:pPr>
        <w:jc w:val="both"/>
        <w:rPr>
          <w:rFonts w:ascii="Arial" w:hAnsi="Arial" w:cs="Arial"/>
          <w:color w:val="1D2228"/>
          <w:shd w:val="clear" w:color="auto" w:fill="FFFFFF"/>
          <w:lang w:val="en-US"/>
        </w:rPr>
      </w:pPr>
      <w:r w:rsidRPr="003239E9">
        <w:rPr>
          <w:rFonts w:ascii="Arial" w:hAnsi="Arial" w:cs="Arial"/>
          <w:i/>
          <w:iCs/>
          <w:color w:val="1D2228"/>
          <w:shd w:val="clear" w:color="auto" w:fill="FFFFFF"/>
          <w:lang w:val="en-US"/>
        </w:rPr>
        <w:t>Comment this paragraph from Jim Harper (a senior lawyer whose main area of interest concern</w:t>
      </w:r>
      <w:r w:rsidR="00427A7A">
        <w:rPr>
          <w:rFonts w:ascii="Arial" w:hAnsi="Arial" w:cs="Arial"/>
          <w:i/>
          <w:iCs/>
          <w:color w:val="1D2228"/>
          <w:shd w:val="clear" w:color="auto" w:fill="FFFFFF"/>
          <w:lang w:val="en-US"/>
        </w:rPr>
        <w:t>s</w:t>
      </w:r>
      <w:r w:rsidRPr="003239E9">
        <w:rPr>
          <w:rFonts w:ascii="Arial" w:hAnsi="Arial" w:cs="Arial"/>
          <w:i/>
          <w:iCs/>
          <w:color w:val="1D2228"/>
          <w:shd w:val="clear" w:color="auto" w:fill="FFFFFF"/>
          <w:lang w:val="en-US"/>
        </w:rPr>
        <w:t xml:space="preserve"> adapting law and policy to the information age), extracted from a speech entitled ‘Remember the Common Law’ given at the Cato Institute, on March 11, 2016</w:t>
      </w:r>
      <w:r>
        <w:rPr>
          <w:rFonts w:ascii="Arial" w:hAnsi="Arial" w:cs="Arial"/>
          <w:i/>
          <w:iCs/>
          <w:color w:val="1D2228"/>
          <w:shd w:val="clear" w:color="auto" w:fill="FFFFFF"/>
          <w:lang w:val="en-US"/>
        </w:rPr>
        <w:t>:</w:t>
      </w:r>
    </w:p>
    <w:p w14:paraId="1B555D74" w14:textId="77777777" w:rsidR="00917AE7" w:rsidRDefault="00917AE7" w:rsidP="00917AE7">
      <w:pPr>
        <w:jc w:val="both"/>
        <w:rPr>
          <w:rFonts w:ascii="Arial" w:hAnsi="Arial" w:cs="Arial"/>
          <w:color w:val="1D2228"/>
          <w:shd w:val="clear" w:color="auto" w:fill="FFFFFF"/>
          <w:lang w:val="en-US"/>
        </w:rPr>
      </w:pPr>
    </w:p>
    <w:p w14:paraId="26864437" w14:textId="2EB95145" w:rsidR="00917AE7" w:rsidRDefault="00917AE7" w:rsidP="00917AE7">
      <w:pPr>
        <w:jc w:val="both"/>
        <w:rPr>
          <w:rFonts w:ascii="Arial" w:hAnsi="Arial" w:cs="Arial"/>
          <w:color w:val="1D2228"/>
          <w:shd w:val="clear" w:color="auto" w:fill="FFFFFF"/>
          <w:lang w:val="en-US"/>
        </w:rPr>
      </w:pPr>
      <w:r w:rsidRPr="003239E9">
        <w:rPr>
          <w:rFonts w:ascii="Arial" w:hAnsi="Arial" w:cs="Arial"/>
          <w:color w:val="1D2228"/>
          <w:shd w:val="clear" w:color="auto" w:fill="FFFFFF"/>
          <w:lang w:val="en-US"/>
        </w:rPr>
        <w:t>“Part of the genius of the common law is its mix of adaptability and consistency. When new circumstances arise, common-law courts, urged on and educated by the parties to disputes, adapt existing rules in ways that they believe produce the most just and fair outcomes. They look for comparable cases in their own and other jurisdictions to learn what adaptation of existing law will produce the best results.”</w:t>
      </w:r>
      <w:r w:rsidRPr="003239E9">
        <w:rPr>
          <w:rFonts w:ascii="Arial" w:hAnsi="Arial" w:cs="Arial"/>
          <w:color w:val="1D2228"/>
          <w:lang w:val="en-US"/>
        </w:rPr>
        <w:br/>
      </w:r>
      <w:r w:rsidRPr="003239E9">
        <w:rPr>
          <w:rFonts w:ascii="Arial" w:hAnsi="Arial" w:cs="Arial"/>
          <w:color w:val="1D2228"/>
          <w:lang w:val="en-US"/>
        </w:rPr>
        <w:br/>
      </w:r>
    </w:p>
    <w:p w14:paraId="166F936B" w14:textId="5177310F" w:rsidR="00917AE7" w:rsidRDefault="00917AE7" w:rsidP="00917AE7">
      <w:pPr>
        <w:jc w:val="both"/>
        <w:rPr>
          <w:rFonts w:ascii="Arial" w:hAnsi="Arial" w:cs="Arial"/>
          <w:color w:val="1D2228"/>
          <w:shd w:val="clear" w:color="auto" w:fill="FFFFFF"/>
          <w:lang w:val="en-US"/>
        </w:rPr>
      </w:pPr>
    </w:p>
    <w:p w14:paraId="64A1E756" w14:textId="77777777" w:rsidR="00917AE7" w:rsidRDefault="00917AE7" w:rsidP="00917AE7">
      <w:pPr>
        <w:jc w:val="both"/>
        <w:rPr>
          <w:rFonts w:ascii="Arial" w:hAnsi="Arial" w:cs="Arial"/>
          <w:color w:val="1D2228"/>
          <w:shd w:val="clear" w:color="auto" w:fill="FFFFFF"/>
          <w:lang w:val="en-US"/>
        </w:rPr>
      </w:pPr>
    </w:p>
    <w:p w14:paraId="69EB4C0F" w14:textId="77777777" w:rsidR="00917AE7" w:rsidRPr="003239E9" w:rsidRDefault="00917AE7" w:rsidP="00917AE7">
      <w:pPr>
        <w:jc w:val="both"/>
        <w:rPr>
          <w:rFonts w:ascii="Arial" w:hAnsi="Arial" w:cs="Arial"/>
          <w:color w:val="1D2228"/>
          <w:shd w:val="clear" w:color="auto" w:fill="FFFFFF"/>
          <w:lang w:val="en-US"/>
        </w:rPr>
      </w:pPr>
    </w:p>
    <w:p w14:paraId="2B06C972" w14:textId="38F3B7E3" w:rsidR="00917AE7" w:rsidRPr="00917AE7" w:rsidRDefault="00917AE7" w:rsidP="00917AE7">
      <w:pPr>
        <w:pStyle w:val="Paragraphedeliste"/>
        <w:numPr>
          <w:ilvl w:val="0"/>
          <w:numId w:val="1"/>
        </w:numPr>
        <w:jc w:val="both"/>
        <w:rPr>
          <w:rFonts w:ascii="Arial" w:hAnsi="Arial" w:cs="Arial"/>
          <w:b/>
          <w:bCs/>
          <w:lang w:val="en-GB"/>
        </w:rPr>
      </w:pPr>
      <w:r w:rsidRPr="00917AE7">
        <w:rPr>
          <w:rFonts w:ascii="Arial" w:hAnsi="Arial" w:cs="Arial"/>
          <w:b/>
          <w:bCs/>
          <w:lang w:val="en-GB"/>
        </w:rPr>
        <w:t xml:space="preserve">TRANSLATION </w:t>
      </w:r>
    </w:p>
    <w:p w14:paraId="4163037F" w14:textId="77777777" w:rsidR="00917AE7" w:rsidRDefault="00917AE7" w:rsidP="00917AE7">
      <w:pPr>
        <w:jc w:val="both"/>
        <w:rPr>
          <w:rFonts w:ascii="Arial" w:hAnsi="Arial" w:cs="Arial"/>
          <w:i/>
          <w:iCs/>
          <w:lang w:val="en-US"/>
        </w:rPr>
      </w:pPr>
    </w:p>
    <w:p w14:paraId="2B894F5F" w14:textId="75FE8C8D" w:rsidR="00917AE7" w:rsidRPr="003239E9" w:rsidRDefault="00917AE7" w:rsidP="00917AE7">
      <w:pPr>
        <w:jc w:val="both"/>
        <w:rPr>
          <w:rFonts w:ascii="Arial" w:hAnsi="Arial" w:cs="Arial"/>
          <w:i/>
          <w:iCs/>
          <w:lang w:val="en-US"/>
        </w:rPr>
      </w:pPr>
      <w:r w:rsidRPr="003239E9">
        <w:rPr>
          <w:rFonts w:ascii="Arial" w:hAnsi="Arial" w:cs="Arial"/>
          <w:i/>
          <w:iCs/>
          <w:lang w:val="en-US"/>
        </w:rPr>
        <w:t>Translate the</w:t>
      </w:r>
      <w:r>
        <w:rPr>
          <w:rFonts w:ascii="Arial" w:hAnsi="Arial" w:cs="Arial"/>
          <w:i/>
          <w:iCs/>
          <w:lang w:val="en-US"/>
        </w:rPr>
        <w:t xml:space="preserve"> two</w:t>
      </w:r>
      <w:r w:rsidRPr="003239E9">
        <w:rPr>
          <w:rFonts w:ascii="Arial" w:hAnsi="Arial" w:cs="Arial"/>
          <w:i/>
          <w:iCs/>
          <w:lang w:val="en-US"/>
        </w:rPr>
        <w:t xml:space="preserve"> passages </w:t>
      </w:r>
      <w:r w:rsidRPr="003239E9">
        <w:rPr>
          <w:rFonts w:ascii="Arial" w:hAnsi="Arial" w:cs="Arial"/>
          <w:b/>
          <w:bCs/>
          <w:i/>
          <w:iCs/>
          <w:lang w:val="en-US"/>
        </w:rPr>
        <w:t>in bold characters</w:t>
      </w:r>
      <w:r w:rsidRPr="003239E9">
        <w:rPr>
          <w:rFonts w:ascii="Arial" w:hAnsi="Arial" w:cs="Arial"/>
          <w:i/>
          <w:iCs/>
          <w:lang w:val="en-US"/>
        </w:rPr>
        <w:t xml:space="preserve"> in the text below: </w:t>
      </w:r>
    </w:p>
    <w:p w14:paraId="4DB6C53B" w14:textId="78E24213" w:rsidR="00917AE7" w:rsidRDefault="00917AE7" w:rsidP="00917AE7">
      <w:pPr>
        <w:jc w:val="both"/>
        <w:rPr>
          <w:rFonts w:ascii="Arial" w:hAnsi="Arial" w:cs="Arial"/>
          <w:lang w:val="en-US"/>
        </w:rPr>
      </w:pPr>
    </w:p>
    <w:p w14:paraId="1B0DBF1A" w14:textId="77777777" w:rsidR="00917AE7" w:rsidRDefault="00917AE7" w:rsidP="00917AE7">
      <w:pPr>
        <w:jc w:val="both"/>
        <w:rPr>
          <w:rFonts w:ascii="Arial" w:hAnsi="Arial" w:cs="Arial"/>
          <w:lang w:val="en-US"/>
        </w:rPr>
      </w:pPr>
    </w:p>
    <w:p w14:paraId="77B93A7A" w14:textId="77777777" w:rsidR="00917AE7" w:rsidRPr="003239E9" w:rsidRDefault="00917AE7" w:rsidP="00917AE7">
      <w:pPr>
        <w:jc w:val="center"/>
        <w:rPr>
          <w:rFonts w:ascii="Arial" w:hAnsi="Arial" w:cs="Arial"/>
          <w:lang w:val="en-US"/>
        </w:rPr>
      </w:pPr>
      <w:r w:rsidRPr="003239E9">
        <w:rPr>
          <w:rFonts w:ascii="Arial" w:hAnsi="Arial" w:cs="Arial"/>
          <w:lang w:val="en-US"/>
        </w:rPr>
        <w:t>SUPREME COURT OF THE UNITED STATES</w:t>
      </w:r>
    </w:p>
    <w:p w14:paraId="1805568E" w14:textId="77777777" w:rsidR="00917AE7" w:rsidRPr="003239E9" w:rsidRDefault="00917AE7" w:rsidP="00917AE7">
      <w:pPr>
        <w:jc w:val="center"/>
        <w:rPr>
          <w:rFonts w:ascii="Arial" w:hAnsi="Arial" w:cs="Arial"/>
          <w:lang w:val="en-US"/>
        </w:rPr>
      </w:pPr>
      <w:r w:rsidRPr="003239E9">
        <w:rPr>
          <w:rFonts w:ascii="Arial" w:hAnsi="Arial" w:cs="Arial"/>
          <w:lang w:val="en-US"/>
        </w:rPr>
        <w:t>Syllabus</w:t>
      </w:r>
    </w:p>
    <w:p w14:paraId="1FD63F5C" w14:textId="77777777" w:rsidR="00917AE7" w:rsidRPr="003239E9" w:rsidRDefault="00917AE7" w:rsidP="00917AE7">
      <w:pPr>
        <w:jc w:val="center"/>
        <w:rPr>
          <w:rFonts w:ascii="Arial" w:hAnsi="Arial" w:cs="Arial"/>
          <w:lang w:val="en-US"/>
        </w:rPr>
      </w:pPr>
      <w:r w:rsidRPr="003239E9">
        <w:rPr>
          <w:rFonts w:ascii="Arial" w:hAnsi="Arial" w:cs="Arial"/>
          <w:lang w:val="en-US"/>
        </w:rPr>
        <w:t>MORGAN v. SUNDANCE, INC.</w:t>
      </w:r>
    </w:p>
    <w:p w14:paraId="7949619E" w14:textId="77777777" w:rsidR="00917AE7" w:rsidRPr="003239E9" w:rsidRDefault="00917AE7" w:rsidP="00917AE7">
      <w:pPr>
        <w:jc w:val="center"/>
        <w:rPr>
          <w:rFonts w:ascii="Arial" w:hAnsi="Arial" w:cs="Arial"/>
          <w:lang w:val="en-US"/>
        </w:rPr>
      </w:pPr>
      <w:r w:rsidRPr="003239E9">
        <w:rPr>
          <w:rFonts w:ascii="Arial" w:hAnsi="Arial" w:cs="Arial"/>
          <w:lang w:val="en-US"/>
        </w:rPr>
        <w:t>CERTIORARI TO THE UNITED STATES COURT OF APPEALS FOR THE EIGHTH CIRCUIT</w:t>
      </w:r>
    </w:p>
    <w:p w14:paraId="0F32E941" w14:textId="0E89E5CC" w:rsidR="00917AE7" w:rsidRDefault="00917AE7" w:rsidP="00917AE7">
      <w:pPr>
        <w:jc w:val="center"/>
        <w:rPr>
          <w:rFonts w:ascii="Arial" w:hAnsi="Arial" w:cs="Arial"/>
          <w:lang w:val="en-US"/>
        </w:rPr>
      </w:pPr>
      <w:r w:rsidRPr="003239E9">
        <w:rPr>
          <w:rFonts w:ascii="Arial" w:hAnsi="Arial" w:cs="Arial"/>
          <w:lang w:val="en-US"/>
        </w:rPr>
        <w:t>No. 21–328. Argued March 21, 2022—Decided May 23, 2022</w:t>
      </w:r>
    </w:p>
    <w:p w14:paraId="5B418199" w14:textId="77777777" w:rsidR="00917AE7" w:rsidRPr="003239E9" w:rsidRDefault="00917AE7" w:rsidP="00917AE7">
      <w:pPr>
        <w:jc w:val="center"/>
        <w:rPr>
          <w:rFonts w:ascii="Arial" w:hAnsi="Arial" w:cs="Arial"/>
          <w:lang w:val="en-US"/>
        </w:rPr>
      </w:pPr>
    </w:p>
    <w:p w14:paraId="2F2B2A05" w14:textId="7B15B726" w:rsidR="00917AE7" w:rsidRDefault="00917AE7" w:rsidP="00917AE7">
      <w:pPr>
        <w:jc w:val="both"/>
        <w:rPr>
          <w:rFonts w:ascii="Arial" w:hAnsi="Arial" w:cs="Arial"/>
          <w:b/>
          <w:bCs/>
          <w:lang w:val="en-US"/>
        </w:rPr>
      </w:pPr>
      <w:r w:rsidRPr="003239E9">
        <w:rPr>
          <w:rFonts w:ascii="Arial" w:hAnsi="Arial" w:cs="Arial"/>
          <w:lang w:val="en-US"/>
        </w:rPr>
        <w:t xml:space="preserve">Petitioner Robyn Morgan worked as an hourly employee at a Taco Bell franchise owned by respondent Sundance. When applying for the job, Morgan signed an agreement to arbitrate any employment dispute. Despite that agreement, Morgan filed a nationwide collective action asserting that Sundance had violated federal law regarding overtime payment. </w:t>
      </w:r>
      <w:r w:rsidRPr="003239E9">
        <w:rPr>
          <w:rFonts w:ascii="Arial" w:hAnsi="Arial" w:cs="Arial"/>
          <w:b/>
          <w:bCs/>
          <w:lang w:val="en-US"/>
        </w:rPr>
        <w:t xml:space="preserve">Sundance initially defended against the lawsuit as if no arbitration agreement existed, filing a motion to dismiss (which the District Court denied) and engaging in mediation (which was unsuccessful). Then—nearly eight months after Morgan filed the lawsuit— Sundance moved to stay the litigation and compel arbitration under the Federal Arbitration Act (FAA). Morgan opposed, arguing that Sundance had waived its right to arbitrate by litigating for so long. </w:t>
      </w:r>
    </w:p>
    <w:p w14:paraId="0B203494" w14:textId="77777777" w:rsidR="00917AE7" w:rsidRPr="003239E9" w:rsidRDefault="00917AE7" w:rsidP="00917AE7">
      <w:pPr>
        <w:jc w:val="both"/>
        <w:rPr>
          <w:rFonts w:ascii="Arial" w:hAnsi="Arial" w:cs="Arial"/>
          <w:b/>
          <w:bCs/>
          <w:lang w:val="en-US"/>
        </w:rPr>
      </w:pPr>
    </w:p>
    <w:p w14:paraId="25F7DFA1" w14:textId="77777777" w:rsidR="00917AE7" w:rsidRPr="003239E9" w:rsidRDefault="00917AE7" w:rsidP="00917AE7">
      <w:pPr>
        <w:jc w:val="both"/>
        <w:rPr>
          <w:rFonts w:ascii="Arial" w:hAnsi="Arial" w:cs="Arial"/>
          <w:lang w:val="en-US"/>
        </w:rPr>
      </w:pPr>
      <w:r w:rsidRPr="003239E9">
        <w:rPr>
          <w:rFonts w:ascii="Arial" w:hAnsi="Arial" w:cs="Arial"/>
          <w:lang w:val="en-US"/>
        </w:rPr>
        <w:t>The courts below applied Eighth Circuit precedent, under which a party waives its right to arbitration if it knew of the right; “acted inconsistently with that right”; and “prejudiced the other party by its inconsistent actions.” The prejudice requirement is not a feature of federal waiver law generally. The Eighth Circuit adopted that requirement because of the “federal policy favoring arbitration.” Other courts have rejected such a requirement. This Court granted certiorari to resolve the split over whether federal courts may adopt an arbitration-specific waiver rule demanding a showing of prejudice.</w:t>
      </w:r>
    </w:p>
    <w:p w14:paraId="73982466" w14:textId="77777777" w:rsidR="00917AE7" w:rsidRDefault="00917AE7" w:rsidP="00917AE7">
      <w:pPr>
        <w:jc w:val="both"/>
        <w:rPr>
          <w:rFonts w:ascii="Arial" w:hAnsi="Arial" w:cs="Arial"/>
          <w:u w:val="single"/>
          <w:lang w:val="en-US"/>
        </w:rPr>
      </w:pPr>
    </w:p>
    <w:p w14:paraId="314AE6DA" w14:textId="6D8DCA56" w:rsidR="00917AE7" w:rsidRPr="003239E9" w:rsidRDefault="00917AE7" w:rsidP="00917AE7">
      <w:pPr>
        <w:jc w:val="both"/>
        <w:rPr>
          <w:rFonts w:ascii="Arial" w:hAnsi="Arial" w:cs="Arial"/>
          <w:lang w:val="en-US"/>
        </w:rPr>
      </w:pPr>
      <w:r w:rsidRPr="003239E9">
        <w:rPr>
          <w:rFonts w:ascii="Arial" w:hAnsi="Arial" w:cs="Arial"/>
          <w:u w:val="single"/>
          <w:lang w:val="en-US"/>
        </w:rPr>
        <w:t>Held</w:t>
      </w:r>
      <w:r w:rsidRPr="003239E9">
        <w:rPr>
          <w:rFonts w:ascii="Arial" w:hAnsi="Arial" w:cs="Arial"/>
          <w:lang w:val="en-US"/>
        </w:rPr>
        <w:t xml:space="preserve">: The Eighth Circuit erred in conditioning a waiver of the right to arbitrate on a showing of prejudice. Federal courts have generally resolved cases like this one as a matter of federal law, using the terminology of waiver. The parties dispute whether that framework is correct. </w:t>
      </w:r>
      <w:r w:rsidRPr="003239E9">
        <w:rPr>
          <w:rFonts w:ascii="Arial" w:hAnsi="Arial" w:cs="Arial"/>
          <w:b/>
          <w:bCs/>
          <w:lang w:val="en-US"/>
        </w:rPr>
        <w:t>Assuming without deciding that it is, federal courts may not create arbitration-specific variants of federal procedural rules, like those concerning waiver, based on the FAA’s “policy favoring arbitration.” That policy “is merely an acknowledgment of the FAA’s commitment to overrule the judiciary’s longstanding refusal to enforce agreements to arbitrate and to place such agreements upon the same footing as other contracts.”</w:t>
      </w:r>
      <w:r w:rsidRPr="003239E9">
        <w:rPr>
          <w:rFonts w:ascii="Arial" w:hAnsi="Arial" w:cs="Arial"/>
          <w:lang w:val="en-US"/>
        </w:rPr>
        <w:t xml:space="preserve"> Accordingly, a court must hold a party to its arbitration contract just as the court would to any other kind. But a court may not devise novel rules to favor arbitration over litigation. The federal policy is about treating arbitration contracts like all others, not about fostering arbitration.</w:t>
      </w:r>
    </w:p>
    <w:p w14:paraId="2186F7FD" w14:textId="77777777" w:rsidR="00917AE7" w:rsidRPr="003239E9" w:rsidRDefault="00917AE7" w:rsidP="00917AE7">
      <w:pPr>
        <w:jc w:val="both"/>
        <w:rPr>
          <w:rFonts w:ascii="Arial" w:hAnsi="Arial" w:cs="Arial"/>
          <w:lang w:val="en-US"/>
        </w:rPr>
      </w:pPr>
    </w:p>
    <w:p w14:paraId="0373045A" w14:textId="77777777" w:rsidR="00917AE7" w:rsidRPr="00427A7A" w:rsidRDefault="00917AE7" w:rsidP="00496A9E">
      <w:pPr>
        <w:jc w:val="center"/>
        <w:rPr>
          <w:rFonts w:ascii="Arial" w:hAnsi="Arial" w:cs="Arial"/>
          <w:iCs/>
          <w:sz w:val="22"/>
          <w:szCs w:val="22"/>
          <w:lang w:val="en-GB"/>
        </w:rPr>
      </w:pPr>
    </w:p>
    <w:p w14:paraId="237CFA0E" w14:textId="77777777" w:rsidR="00496A9E" w:rsidRPr="00427A7A" w:rsidRDefault="00496A9E" w:rsidP="00496A9E">
      <w:pPr>
        <w:jc w:val="center"/>
        <w:rPr>
          <w:i/>
          <w:sz w:val="22"/>
          <w:szCs w:val="22"/>
          <w:lang w:val="en-GB"/>
        </w:rPr>
      </w:pPr>
    </w:p>
    <w:p w14:paraId="4B6855DF" w14:textId="15E6ED37" w:rsidR="00BF393C" w:rsidRPr="00427A7A" w:rsidRDefault="00BF393C">
      <w:pPr>
        <w:rPr>
          <w:lang w:val="en-GB"/>
        </w:rPr>
      </w:pPr>
    </w:p>
    <w:sectPr w:rsidR="00BF393C" w:rsidRPr="00427A7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910D79" w14:textId="77777777" w:rsidR="00FB78FA" w:rsidRDefault="00FB78FA" w:rsidP="003A2208">
      <w:r>
        <w:separator/>
      </w:r>
    </w:p>
  </w:endnote>
  <w:endnote w:type="continuationSeparator" w:id="0">
    <w:p w14:paraId="43788FCD" w14:textId="77777777" w:rsidR="00FB78FA" w:rsidRDefault="00FB78FA" w:rsidP="003A2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034801"/>
      <w:docPartObj>
        <w:docPartGallery w:val="Page Numbers (Bottom of Page)"/>
        <w:docPartUnique/>
      </w:docPartObj>
    </w:sdtPr>
    <w:sdtContent>
      <w:p w14:paraId="1FF6C007" w14:textId="3ABD92EF" w:rsidR="002E59E9" w:rsidRDefault="002E59E9">
        <w:pPr>
          <w:pStyle w:val="Pieddepage"/>
          <w:jc w:val="right"/>
        </w:pPr>
        <w:r>
          <w:fldChar w:fldCharType="begin"/>
        </w:r>
        <w:r>
          <w:instrText>PAGE   \* MERGEFORMAT</w:instrText>
        </w:r>
        <w:r>
          <w:fldChar w:fldCharType="separate"/>
        </w:r>
        <w:r w:rsidR="001C06EF">
          <w:rPr>
            <w:noProof/>
          </w:rPr>
          <w:t>1</w:t>
        </w:r>
        <w:r>
          <w:fldChar w:fldCharType="end"/>
        </w:r>
        <w:r>
          <w:t>/2</w:t>
        </w:r>
      </w:p>
    </w:sdtContent>
  </w:sdt>
  <w:p w14:paraId="25D330F9" w14:textId="09B28075" w:rsidR="003A2208" w:rsidRDefault="003A2208" w:rsidP="003A2208">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0D75E7" w14:textId="77777777" w:rsidR="00FB78FA" w:rsidRDefault="00FB78FA" w:rsidP="003A2208">
      <w:r>
        <w:separator/>
      </w:r>
    </w:p>
  </w:footnote>
  <w:footnote w:type="continuationSeparator" w:id="0">
    <w:p w14:paraId="2E5A3845" w14:textId="77777777" w:rsidR="00FB78FA" w:rsidRDefault="00FB78FA" w:rsidP="003A2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24ADA"/>
    <w:multiLevelType w:val="hybridMultilevel"/>
    <w:tmpl w:val="4476EC68"/>
    <w:lvl w:ilvl="0" w:tplc="376C8B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B8"/>
    <w:rsid w:val="00110FE2"/>
    <w:rsid w:val="001A28B3"/>
    <w:rsid w:val="001C06EF"/>
    <w:rsid w:val="001E207B"/>
    <w:rsid w:val="002C73BE"/>
    <w:rsid w:val="002E59E9"/>
    <w:rsid w:val="00325FF0"/>
    <w:rsid w:val="00333559"/>
    <w:rsid w:val="003A2208"/>
    <w:rsid w:val="00427A7A"/>
    <w:rsid w:val="004336F6"/>
    <w:rsid w:val="00496A9E"/>
    <w:rsid w:val="004F6AF8"/>
    <w:rsid w:val="005A497A"/>
    <w:rsid w:val="006706BC"/>
    <w:rsid w:val="006E78FF"/>
    <w:rsid w:val="008A7CA3"/>
    <w:rsid w:val="00917AE7"/>
    <w:rsid w:val="00944A74"/>
    <w:rsid w:val="00AB6A7C"/>
    <w:rsid w:val="00AE726E"/>
    <w:rsid w:val="00BB4C4E"/>
    <w:rsid w:val="00BD1EC3"/>
    <w:rsid w:val="00BF393C"/>
    <w:rsid w:val="00C62AB8"/>
    <w:rsid w:val="00CD2095"/>
    <w:rsid w:val="00D15CFA"/>
    <w:rsid w:val="00E74A4F"/>
    <w:rsid w:val="00E83D83"/>
    <w:rsid w:val="00EF2DF2"/>
    <w:rsid w:val="00FB78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2D9C"/>
  <w15:chartTrackingRefBased/>
  <w15:docId w15:val="{51EEA85F-FF91-4301-B9E9-8C29B83C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208"/>
    <w:pPr>
      <w:tabs>
        <w:tab w:val="center" w:pos="4536"/>
        <w:tab w:val="right" w:pos="9072"/>
      </w:tabs>
    </w:pPr>
  </w:style>
  <w:style w:type="character" w:customStyle="1" w:styleId="En-tteCar">
    <w:name w:val="En-tête Car"/>
    <w:basedOn w:val="Policepardfaut"/>
    <w:link w:val="En-tte"/>
    <w:uiPriority w:val="99"/>
    <w:rsid w:val="003A2208"/>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3A2208"/>
    <w:pPr>
      <w:tabs>
        <w:tab w:val="center" w:pos="4536"/>
        <w:tab w:val="right" w:pos="9072"/>
      </w:tabs>
    </w:pPr>
  </w:style>
  <w:style w:type="character" w:customStyle="1" w:styleId="PieddepageCar">
    <w:name w:val="Pied de page Car"/>
    <w:basedOn w:val="Policepardfaut"/>
    <w:link w:val="Pieddepage"/>
    <w:uiPriority w:val="99"/>
    <w:rsid w:val="003A2208"/>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17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20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3339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Université Panthéon-Assas</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cp:keywords/>
  <dc:description/>
  <cp:lastModifiedBy>UP2</cp:lastModifiedBy>
  <cp:revision>4</cp:revision>
  <dcterms:created xsi:type="dcterms:W3CDTF">2022-12-01T12:07:00Z</dcterms:created>
  <dcterms:modified xsi:type="dcterms:W3CDTF">2022-12-01T16:04:00Z</dcterms:modified>
</cp:coreProperties>
</file>