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31E9" w14:textId="77777777" w:rsidR="00875096" w:rsidRPr="00472BAC" w:rsidRDefault="00875096" w:rsidP="00875096">
      <w:pPr>
        <w:spacing w:after="0"/>
        <w:jc w:val="center"/>
        <w:rPr>
          <w:b/>
          <w:sz w:val="28"/>
          <w:szCs w:val="28"/>
        </w:rPr>
      </w:pPr>
      <w:r w:rsidRPr="00472BAC">
        <w:rPr>
          <w:b/>
          <w:sz w:val="28"/>
          <w:szCs w:val="28"/>
        </w:rPr>
        <w:t>UNIVERSIT</w:t>
      </w:r>
      <w:r w:rsidR="000E3D74">
        <w:rPr>
          <w:rFonts w:cs="Times New Roman"/>
          <w:b/>
          <w:sz w:val="28"/>
          <w:szCs w:val="28"/>
        </w:rPr>
        <w:t>É</w:t>
      </w:r>
      <w:r w:rsidRPr="00472BAC">
        <w:rPr>
          <w:b/>
          <w:sz w:val="28"/>
          <w:szCs w:val="28"/>
        </w:rPr>
        <w:t xml:space="preserve"> PANTH</w:t>
      </w:r>
      <w:r w:rsidR="0007437A">
        <w:rPr>
          <w:rFonts w:cs="Times New Roman"/>
          <w:b/>
          <w:sz w:val="28"/>
          <w:szCs w:val="28"/>
        </w:rPr>
        <w:t>É</w:t>
      </w:r>
      <w:r w:rsidRPr="00472BAC">
        <w:rPr>
          <w:b/>
          <w:sz w:val="28"/>
          <w:szCs w:val="28"/>
        </w:rPr>
        <w:t>ON-ASSAS (PARIS II)</w:t>
      </w:r>
    </w:p>
    <w:p w14:paraId="413E9A07" w14:textId="77777777" w:rsidR="00875096" w:rsidRPr="008E337B" w:rsidRDefault="00875096" w:rsidP="00875096">
      <w:pPr>
        <w:spacing w:after="0"/>
        <w:jc w:val="center"/>
        <w:rPr>
          <w:b/>
          <w:sz w:val="8"/>
          <w:szCs w:val="8"/>
        </w:rPr>
      </w:pPr>
    </w:p>
    <w:p w14:paraId="19A7C4FA" w14:textId="5470A8C0" w:rsidR="00875096" w:rsidRDefault="00875096" w:rsidP="00875096">
      <w:pPr>
        <w:spacing w:after="0"/>
        <w:jc w:val="center"/>
        <w:rPr>
          <w:b/>
        </w:rPr>
      </w:pPr>
      <w:r>
        <w:rPr>
          <w:b/>
        </w:rPr>
        <w:t xml:space="preserve">Session </w:t>
      </w:r>
      <w:r w:rsidR="00FD61E0">
        <w:rPr>
          <w:b/>
        </w:rPr>
        <w:t>de j</w:t>
      </w:r>
      <w:r>
        <w:rPr>
          <w:b/>
        </w:rPr>
        <w:t xml:space="preserve">anvier </w:t>
      </w:r>
      <w:r w:rsidR="00841948">
        <w:rPr>
          <w:b/>
        </w:rPr>
        <w:t>2023</w:t>
      </w:r>
    </w:p>
    <w:p w14:paraId="543C7AC5" w14:textId="77777777" w:rsidR="00875096" w:rsidRDefault="00875096" w:rsidP="00875096">
      <w:pPr>
        <w:spacing w:after="0"/>
        <w:jc w:val="center"/>
        <w:rPr>
          <w:b/>
        </w:rPr>
      </w:pPr>
    </w:p>
    <w:p w14:paraId="2F3EAA24" w14:textId="77777777" w:rsidR="007468BE" w:rsidRDefault="007468BE" w:rsidP="00875096">
      <w:pPr>
        <w:spacing w:after="0"/>
        <w:jc w:val="center"/>
        <w:rPr>
          <w:b/>
        </w:rPr>
      </w:pPr>
    </w:p>
    <w:p w14:paraId="1211E100" w14:textId="77777777" w:rsidR="00875096" w:rsidRDefault="007468BE" w:rsidP="00875096">
      <w:pPr>
        <w:spacing w:after="0"/>
        <w:jc w:val="both"/>
        <w:rPr>
          <w:b/>
        </w:rPr>
      </w:pPr>
      <w:r>
        <w:rPr>
          <w:b/>
        </w:rPr>
        <w:t xml:space="preserve">Deuxième année – </w:t>
      </w:r>
      <w:r w:rsidR="00875096">
        <w:rPr>
          <w:b/>
        </w:rPr>
        <w:t xml:space="preserve">Droit civil – </w:t>
      </w:r>
      <w:r w:rsidR="007C2E1B">
        <w:rPr>
          <w:b/>
        </w:rPr>
        <w:t>D</w:t>
      </w:r>
      <w:r>
        <w:rPr>
          <w:b/>
        </w:rPr>
        <w:t>roit des obligations</w:t>
      </w:r>
    </w:p>
    <w:p w14:paraId="52F18023" w14:textId="77777777" w:rsidR="00875096" w:rsidRDefault="00875096" w:rsidP="00875096">
      <w:pPr>
        <w:spacing w:after="0"/>
        <w:jc w:val="both"/>
        <w:rPr>
          <w:b/>
          <w:smallCaps/>
        </w:rPr>
      </w:pPr>
      <w:r>
        <w:rPr>
          <w:b/>
        </w:rPr>
        <w:t xml:space="preserve">Cours de Monsieur le Professeur Nicolas </w:t>
      </w:r>
      <w:r w:rsidR="004C39CA">
        <w:rPr>
          <w:b/>
          <w:smallCaps/>
        </w:rPr>
        <w:t>MOLFESSIS</w:t>
      </w:r>
    </w:p>
    <w:p w14:paraId="15CD8EF7" w14:textId="77777777" w:rsidR="000E3D74" w:rsidRDefault="000E3D74" w:rsidP="00F37F4B">
      <w:pPr>
        <w:spacing w:after="260" w:line="240" w:lineRule="auto"/>
        <w:jc w:val="both"/>
        <w:rPr>
          <w:b/>
        </w:rPr>
      </w:pPr>
    </w:p>
    <w:p w14:paraId="09F261D1" w14:textId="77777777" w:rsidR="00875096" w:rsidRDefault="00875096" w:rsidP="00875096">
      <w:pPr>
        <w:spacing w:after="0"/>
        <w:jc w:val="center"/>
      </w:pPr>
      <w:r>
        <w:t xml:space="preserve">Les étudiants traiteront, </w:t>
      </w:r>
      <w:r w:rsidRPr="00472BAC">
        <w:rPr>
          <w:u w:val="single"/>
        </w:rPr>
        <w:t>au choix</w:t>
      </w:r>
      <w:r>
        <w:t>, l</w:t>
      </w:r>
      <w:r w:rsidR="008D7AA8">
        <w:t>’</w:t>
      </w:r>
      <w:r>
        <w:t>un des deux sujets suivants :</w:t>
      </w:r>
    </w:p>
    <w:p w14:paraId="329F385D" w14:textId="77777777" w:rsidR="00875096" w:rsidRDefault="00875096" w:rsidP="00F37F4B">
      <w:pPr>
        <w:spacing w:after="260" w:line="240" w:lineRule="auto"/>
        <w:jc w:val="both"/>
        <w:rPr>
          <w:b/>
        </w:rPr>
      </w:pPr>
    </w:p>
    <w:p w14:paraId="21420C6C" w14:textId="77777777" w:rsidR="00760C34" w:rsidRDefault="00875096" w:rsidP="00CD2CC5">
      <w:pPr>
        <w:spacing w:after="240"/>
        <w:jc w:val="both"/>
        <w:rPr>
          <w:b/>
        </w:rPr>
      </w:pPr>
      <w:r w:rsidRPr="00F31B20">
        <w:rPr>
          <w:b/>
          <w:u w:val="single"/>
        </w:rPr>
        <w:t>Sujet n° 1</w:t>
      </w:r>
      <w:r>
        <w:rPr>
          <w:b/>
        </w:rPr>
        <w:t xml:space="preserve"> : Dissertation </w:t>
      </w:r>
    </w:p>
    <w:p w14:paraId="7DE34D65" w14:textId="244A03BB" w:rsidR="00875096" w:rsidRDefault="0079185E" w:rsidP="00760C34">
      <w:pPr>
        <w:spacing w:after="0"/>
        <w:jc w:val="center"/>
        <w:rPr>
          <w:b/>
        </w:rPr>
      </w:pPr>
      <w:r>
        <w:rPr>
          <w:b/>
        </w:rPr>
        <w:t xml:space="preserve">La </w:t>
      </w:r>
      <w:r w:rsidR="00841948">
        <w:rPr>
          <w:b/>
        </w:rPr>
        <w:t>période précontractuelle</w:t>
      </w:r>
    </w:p>
    <w:p w14:paraId="141D0472" w14:textId="77777777" w:rsidR="00760C34" w:rsidRDefault="00760C34" w:rsidP="00F37F4B">
      <w:pPr>
        <w:spacing w:after="260" w:line="240" w:lineRule="auto"/>
        <w:jc w:val="center"/>
        <w:rPr>
          <w:b/>
        </w:rPr>
      </w:pPr>
    </w:p>
    <w:p w14:paraId="38403A7E" w14:textId="3B9299EE" w:rsidR="00875096" w:rsidRPr="00841948" w:rsidRDefault="00875096" w:rsidP="00CD2CC5">
      <w:pPr>
        <w:pStyle w:val="Pieddepage"/>
        <w:spacing w:after="240"/>
        <w:jc w:val="both"/>
        <w:rPr>
          <w:b/>
          <w:spacing w:val="-4"/>
        </w:rPr>
      </w:pPr>
      <w:r w:rsidRPr="00841948">
        <w:rPr>
          <w:b/>
          <w:spacing w:val="-4"/>
          <w:u w:val="single"/>
        </w:rPr>
        <w:t>Sujet n° 2</w:t>
      </w:r>
      <w:r w:rsidRPr="00841948">
        <w:rPr>
          <w:b/>
          <w:spacing w:val="-4"/>
        </w:rPr>
        <w:t> : Commentaire de l</w:t>
      </w:r>
      <w:r w:rsidR="008D7AA8" w:rsidRPr="00841948">
        <w:rPr>
          <w:b/>
          <w:spacing w:val="-4"/>
        </w:rPr>
        <w:t>’</w:t>
      </w:r>
      <w:r w:rsidRPr="00841948">
        <w:rPr>
          <w:b/>
          <w:spacing w:val="-4"/>
        </w:rPr>
        <w:t xml:space="preserve">arrêt rendu par la </w:t>
      </w:r>
      <w:r w:rsidR="00841948" w:rsidRPr="00841948">
        <w:rPr>
          <w:b/>
          <w:spacing w:val="-4"/>
        </w:rPr>
        <w:t>chambre commerciale du 22 octobre 1996</w:t>
      </w:r>
    </w:p>
    <w:p w14:paraId="4164F76B" w14:textId="021CB87F" w:rsidR="00841948" w:rsidRDefault="00841948" w:rsidP="00841948">
      <w:pPr>
        <w:pStyle w:val="Pieddepage"/>
        <w:jc w:val="both"/>
        <w:rPr>
          <w:spacing w:val="-4"/>
          <w:sz w:val="23"/>
          <w:szCs w:val="23"/>
        </w:rPr>
      </w:pPr>
      <w:r w:rsidRPr="00841948">
        <w:rPr>
          <w:spacing w:val="-4"/>
          <w:sz w:val="23"/>
          <w:szCs w:val="23"/>
        </w:rPr>
        <w:t xml:space="preserve">Sur le premier moyen : </w:t>
      </w:r>
    </w:p>
    <w:p w14:paraId="22DEA3F3" w14:textId="77777777" w:rsidR="00841948" w:rsidRDefault="00841948" w:rsidP="00841948">
      <w:pPr>
        <w:pStyle w:val="Pieddepage"/>
        <w:jc w:val="both"/>
        <w:rPr>
          <w:spacing w:val="-4"/>
          <w:sz w:val="23"/>
          <w:szCs w:val="23"/>
        </w:rPr>
      </w:pPr>
    </w:p>
    <w:p w14:paraId="6A8838A4" w14:textId="52446384" w:rsidR="00841948" w:rsidRDefault="00841948" w:rsidP="00841948">
      <w:pPr>
        <w:pStyle w:val="Pieddepage"/>
        <w:jc w:val="both"/>
        <w:rPr>
          <w:spacing w:val="-4"/>
          <w:sz w:val="23"/>
          <w:szCs w:val="23"/>
        </w:rPr>
      </w:pPr>
      <w:r w:rsidRPr="00841948">
        <w:rPr>
          <w:spacing w:val="-4"/>
          <w:sz w:val="23"/>
          <w:szCs w:val="23"/>
        </w:rPr>
        <w:t xml:space="preserve">Vu l’article 1131 du Code civil ; </w:t>
      </w:r>
    </w:p>
    <w:p w14:paraId="24AA9F50" w14:textId="77777777" w:rsidR="00841948" w:rsidRDefault="00841948" w:rsidP="00841948">
      <w:pPr>
        <w:pStyle w:val="Pieddepage"/>
        <w:jc w:val="both"/>
        <w:rPr>
          <w:spacing w:val="-4"/>
          <w:sz w:val="23"/>
          <w:szCs w:val="23"/>
        </w:rPr>
      </w:pPr>
    </w:p>
    <w:p w14:paraId="05743CEF" w14:textId="40AE8A2B" w:rsidR="00841948" w:rsidRDefault="00841948" w:rsidP="00841948">
      <w:pPr>
        <w:pStyle w:val="Pieddepage"/>
        <w:jc w:val="both"/>
        <w:rPr>
          <w:spacing w:val="-4"/>
          <w:sz w:val="23"/>
          <w:szCs w:val="23"/>
        </w:rPr>
      </w:pPr>
      <w:r w:rsidRPr="00841948">
        <w:rPr>
          <w:spacing w:val="-4"/>
          <w:sz w:val="23"/>
          <w:szCs w:val="23"/>
        </w:rPr>
        <w:t xml:space="preserve">Attendu, selon l’arrêt infirmatif attaqué, que la société Banchereau a confié, à deux reprises, un pli contenant une soumission à une adjudication à la société Chronopost, venant aux droits de la société SFMI ; que ces plis n’ayant pas été livrés le lendemain de leur envoi avant midi, ainsi que la société Chronopost s’y était engagée, la société Banchereau a assigné en réparation de ses préjudices la société Chronopost ; que celle-ci a invoqué la clause du contrat limitant l’indemnisation du retard au prix du transport dont elle s’était acquittée ; </w:t>
      </w:r>
    </w:p>
    <w:p w14:paraId="02F75FC1" w14:textId="77777777" w:rsidR="00841948" w:rsidRDefault="00841948" w:rsidP="00841948">
      <w:pPr>
        <w:pStyle w:val="Pieddepage"/>
        <w:jc w:val="both"/>
        <w:rPr>
          <w:spacing w:val="-4"/>
          <w:sz w:val="23"/>
          <w:szCs w:val="23"/>
        </w:rPr>
      </w:pPr>
    </w:p>
    <w:p w14:paraId="4F136CD8" w14:textId="77777777" w:rsidR="00862A02" w:rsidRDefault="00841948" w:rsidP="00841948">
      <w:pPr>
        <w:pStyle w:val="Pieddepage"/>
        <w:jc w:val="both"/>
        <w:rPr>
          <w:spacing w:val="-4"/>
          <w:sz w:val="23"/>
          <w:szCs w:val="23"/>
        </w:rPr>
      </w:pPr>
      <w:r w:rsidRPr="00841948">
        <w:rPr>
          <w:spacing w:val="-4"/>
          <w:sz w:val="23"/>
          <w:szCs w:val="23"/>
        </w:rPr>
        <w:t xml:space="preserve">Attendu que, pour débouter la société Banchereau de sa demande, l’arrêt retient que, si la société Chronopost n’a pas respecté son obligation de livrer les plis le lendemain du jour de l’expédition avant midi, elle n’a cependant pas commis une faute lourde exclusive de la limitation de responsabilité du contrat ; </w:t>
      </w:r>
    </w:p>
    <w:p w14:paraId="30C39887" w14:textId="77777777" w:rsidR="00862A02" w:rsidRDefault="00862A02" w:rsidP="00841948">
      <w:pPr>
        <w:pStyle w:val="Pieddepage"/>
        <w:jc w:val="both"/>
        <w:rPr>
          <w:spacing w:val="-4"/>
          <w:sz w:val="23"/>
          <w:szCs w:val="23"/>
        </w:rPr>
      </w:pPr>
    </w:p>
    <w:p w14:paraId="7A9DEA88" w14:textId="37436D44" w:rsidR="00841948" w:rsidRDefault="00841948" w:rsidP="00841948">
      <w:pPr>
        <w:pStyle w:val="Pieddepage"/>
        <w:jc w:val="both"/>
        <w:rPr>
          <w:spacing w:val="-4"/>
          <w:sz w:val="23"/>
          <w:szCs w:val="23"/>
        </w:rPr>
      </w:pPr>
      <w:r w:rsidRPr="00841948">
        <w:rPr>
          <w:spacing w:val="-4"/>
          <w:sz w:val="23"/>
          <w:szCs w:val="23"/>
        </w:rPr>
        <w:t>Attendu qu’en statuant ainsi alors que, spécialiste du transport rapide garantissant la fiabilité et la célérité de son service, la société Chronopost s’était engagée à livrer les plis de la société Banchereau dans un délai déterminé, et qu’en raison du manquement à cette obligation essentielle la clause limitative de responsabilité du contrat, qui contredisait la portée de l’engagement pris, devait être réputée non écrite, la cour d’appel a violé le texte susvisé ;</w:t>
      </w:r>
    </w:p>
    <w:p w14:paraId="0B02159B" w14:textId="67211134" w:rsidR="00841948" w:rsidRDefault="00841948" w:rsidP="00841948">
      <w:pPr>
        <w:pStyle w:val="Pieddepage"/>
        <w:jc w:val="both"/>
        <w:rPr>
          <w:spacing w:val="-4"/>
          <w:sz w:val="23"/>
          <w:szCs w:val="23"/>
        </w:rPr>
      </w:pPr>
      <w:r w:rsidRPr="00841948">
        <w:rPr>
          <w:spacing w:val="-4"/>
          <w:sz w:val="23"/>
          <w:szCs w:val="23"/>
        </w:rPr>
        <w:t xml:space="preserve"> </w:t>
      </w:r>
    </w:p>
    <w:p w14:paraId="2707D57E" w14:textId="173B50CE" w:rsidR="00841948" w:rsidRDefault="00841948" w:rsidP="00841948">
      <w:pPr>
        <w:pStyle w:val="Pieddepage"/>
        <w:jc w:val="both"/>
        <w:rPr>
          <w:spacing w:val="-4"/>
          <w:sz w:val="23"/>
          <w:szCs w:val="23"/>
        </w:rPr>
      </w:pPr>
      <w:r w:rsidRPr="00841948">
        <w:rPr>
          <w:spacing w:val="-4"/>
          <w:sz w:val="23"/>
          <w:szCs w:val="23"/>
        </w:rPr>
        <w:t>PAR CES MOTIFS, et sans qu’il y ait lieu de statuer sur les autres griefs du pourvoi :</w:t>
      </w:r>
    </w:p>
    <w:p w14:paraId="5997A9CE" w14:textId="77777777" w:rsidR="00841948" w:rsidRDefault="00841948" w:rsidP="00841948">
      <w:pPr>
        <w:pStyle w:val="Pieddepage"/>
        <w:jc w:val="both"/>
        <w:rPr>
          <w:spacing w:val="-4"/>
          <w:sz w:val="23"/>
          <w:szCs w:val="23"/>
        </w:rPr>
      </w:pPr>
    </w:p>
    <w:p w14:paraId="5E0FAA4F" w14:textId="72961125" w:rsidR="00760C34" w:rsidRPr="00CD2CC5" w:rsidRDefault="00841948" w:rsidP="00841948">
      <w:pPr>
        <w:pStyle w:val="Pieddepage"/>
        <w:jc w:val="both"/>
        <w:rPr>
          <w:spacing w:val="-4"/>
          <w:sz w:val="23"/>
          <w:szCs w:val="23"/>
        </w:rPr>
      </w:pPr>
      <w:r w:rsidRPr="00841948">
        <w:rPr>
          <w:spacing w:val="-4"/>
          <w:sz w:val="23"/>
          <w:szCs w:val="23"/>
        </w:rPr>
        <w:t>CASSE ET ANNULE, dans toutes ses dispositions, l’arrêt rendu le 30 juin 1993, entre les parties, par la cour d’appel de Rennes ; remet, en conséquence, la cause et les parties dans l’état où elles se trouvaient avant ledit arrêt et, pour être fait droit, les renvoie devant la cour d’appel de Caen</w:t>
      </w:r>
      <w:r w:rsidR="007C2E1B" w:rsidRPr="00CD2CC5">
        <w:rPr>
          <w:spacing w:val="-4"/>
          <w:sz w:val="23"/>
          <w:szCs w:val="23"/>
        </w:rPr>
        <w:t>.</w:t>
      </w:r>
    </w:p>
    <w:p w14:paraId="1A058A12" w14:textId="77777777" w:rsidR="00760C34" w:rsidRDefault="00760C34" w:rsidP="00760C34">
      <w:pPr>
        <w:pStyle w:val="Pieddepage"/>
        <w:jc w:val="both"/>
        <w:rPr>
          <w:sz w:val="23"/>
          <w:szCs w:val="23"/>
        </w:rPr>
      </w:pPr>
    </w:p>
    <w:p w14:paraId="618E8132" w14:textId="77777777" w:rsidR="00CD2CC5" w:rsidRPr="007C2E1B" w:rsidRDefault="00CD2CC5" w:rsidP="00760C34">
      <w:pPr>
        <w:pStyle w:val="Pieddepage"/>
        <w:jc w:val="both"/>
        <w:rPr>
          <w:sz w:val="23"/>
          <w:szCs w:val="23"/>
        </w:rPr>
      </w:pPr>
    </w:p>
    <w:p w14:paraId="32FF3EE5" w14:textId="77777777" w:rsidR="00767646" w:rsidRPr="00362BAF" w:rsidRDefault="00875096" w:rsidP="00850E9F">
      <w:pPr>
        <w:pStyle w:val="Pieddepage"/>
        <w:spacing w:after="240"/>
        <w:jc w:val="both"/>
        <w:rPr>
          <w:b/>
        </w:rPr>
      </w:pPr>
      <w:r w:rsidRPr="008C1AAF">
        <w:rPr>
          <w:b/>
        </w:rPr>
        <w:t>N.B. : Le code civil est autorisé, à l</w:t>
      </w:r>
      <w:r w:rsidR="008D7AA8">
        <w:rPr>
          <w:b/>
        </w:rPr>
        <w:t>’</w:t>
      </w:r>
      <w:r w:rsidRPr="008C1AAF">
        <w:rPr>
          <w:b/>
        </w:rPr>
        <w:t xml:space="preserve">exclusion de tout autre document. </w:t>
      </w:r>
      <w:r w:rsidRPr="008C1AAF">
        <w:rPr>
          <w:b/>
          <w:u w:val="single"/>
        </w:rPr>
        <w:t>Il doit être vierge de toute inscription</w:t>
      </w:r>
      <w:r w:rsidRPr="00362BAF">
        <w:rPr>
          <w:b/>
        </w:rPr>
        <w:t>.</w:t>
      </w:r>
    </w:p>
    <w:sectPr w:rsidR="00767646" w:rsidRPr="00362BAF" w:rsidSect="00F33379">
      <w:headerReference w:type="default" r:id="rId7"/>
      <w:pgSz w:w="11906" w:h="16838" w:code="9"/>
      <w:pgMar w:top="1134" w:right="1418" w:bottom="567"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47FA" w14:textId="77777777" w:rsidR="00A93CFB" w:rsidRDefault="00A93CFB" w:rsidP="00FD61E0">
      <w:pPr>
        <w:spacing w:after="0" w:line="240" w:lineRule="auto"/>
      </w:pPr>
      <w:r>
        <w:separator/>
      </w:r>
    </w:p>
  </w:endnote>
  <w:endnote w:type="continuationSeparator" w:id="0">
    <w:p w14:paraId="615EE366" w14:textId="77777777" w:rsidR="00A93CFB" w:rsidRDefault="00A93CFB" w:rsidP="00FD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FFBB" w14:textId="77777777" w:rsidR="00A93CFB" w:rsidRDefault="00A93CFB" w:rsidP="00FD61E0">
      <w:pPr>
        <w:spacing w:after="0" w:line="240" w:lineRule="auto"/>
      </w:pPr>
      <w:r>
        <w:separator/>
      </w:r>
    </w:p>
  </w:footnote>
  <w:footnote w:type="continuationSeparator" w:id="0">
    <w:p w14:paraId="2BF54160" w14:textId="77777777" w:rsidR="00A93CFB" w:rsidRDefault="00A93CFB" w:rsidP="00FD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3CEB" w14:textId="77777777" w:rsidR="00FD61E0" w:rsidRPr="00FD61E0" w:rsidRDefault="00FD61E0" w:rsidP="00FD61E0">
    <w:pPr>
      <w:pStyle w:val="En-tte"/>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96"/>
    <w:rsid w:val="00014DCA"/>
    <w:rsid w:val="00032327"/>
    <w:rsid w:val="0007437A"/>
    <w:rsid w:val="000946E2"/>
    <w:rsid w:val="000E3D74"/>
    <w:rsid w:val="00126C94"/>
    <w:rsid w:val="001D7900"/>
    <w:rsid w:val="003013EF"/>
    <w:rsid w:val="00362BAF"/>
    <w:rsid w:val="00387ACD"/>
    <w:rsid w:val="004C39CA"/>
    <w:rsid w:val="00533DBB"/>
    <w:rsid w:val="00586061"/>
    <w:rsid w:val="006B213D"/>
    <w:rsid w:val="006D17E1"/>
    <w:rsid w:val="007363A1"/>
    <w:rsid w:val="007468BE"/>
    <w:rsid w:val="00760443"/>
    <w:rsid w:val="00760C34"/>
    <w:rsid w:val="00770C60"/>
    <w:rsid w:val="0079185E"/>
    <w:rsid w:val="007C2E1B"/>
    <w:rsid w:val="00841948"/>
    <w:rsid w:val="00850E9F"/>
    <w:rsid w:val="00862A02"/>
    <w:rsid w:val="00875096"/>
    <w:rsid w:val="008D7AA8"/>
    <w:rsid w:val="008E2183"/>
    <w:rsid w:val="008E337B"/>
    <w:rsid w:val="00A33673"/>
    <w:rsid w:val="00A93CFB"/>
    <w:rsid w:val="00B566A2"/>
    <w:rsid w:val="00C55F1C"/>
    <w:rsid w:val="00CD2CC5"/>
    <w:rsid w:val="00E23D8C"/>
    <w:rsid w:val="00E54F8F"/>
    <w:rsid w:val="00F12B95"/>
    <w:rsid w:val="00F33379"/>
    <w:rsid w:val="00F37F4B"/>
    <w:rsid w:val="00FB59AD"/>
    <w:rsid w:val="00FD61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0595"/>
  <w15:docId w15:val="{F48E2A71-CEBD-4CFA-B7C1-887D9156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F12B95"/>
    <w:pPr>
      <w:spacing w:after="0" w:line="240" w:lineRule="auto"/>
      <w:ind w:left="1418"/>
      <w:jc w:val="both"/>
    </w:pPr>
    <w:rPr>
      <w:i/>
      <w:iCs/>
      <w:color w:val="000000" w:themeColor="text1"/>
      <w:spacing w:val="-2"/>
    </w:rPr>
  </w:style>
  <w:style w:type="character" w:customStyle="1" w:styleId="CitationCar">
    <w:name w:val="Citation Car"/>
    <w:basedOn w:val="Policepardfaut"/>
    <w:link w:val="Citation"/>
    <w:uiPriority w:val="29"/>
    <w:rsid w:val="00F12B95"/>
    <w:rPr>
      <w:i/>
      <w:iCs/>
      <w:color w:val="000000" w:themeColor="text1"/>
      <w:spacing w:val="-2"/>
    </w:rPr>
  </w:style>
  <w:style w:type="paragraph" w:styleId="Notedebasdepage">
    <w:name w:val="footnote text"/>
    <w:basedOn w:val="Normal"/>
    <w:link w:val="NotedebasdepageCar"/>
    <w:uiPriority w:val="99"/>
    <w:unhideWhenUsed/>
    <w:rsid w:val="00014DCA"/>
    <w:pPr>
      <w:spacing w:after="0" w:line="240" w:lineRule="auto"/>
      <w:jc w:val="both"/>
    </w:pPr>
    <w:rPr>
      <w:rFonts w:ascii="Garamond" w:hAnsi="Garamond"/>
      <w:sz w:val="22"/>
      <w:szCs w:val="20"/>
    </w:rPr>
  </w:style>
  <w:style w:type="character" w:customStyle="1" w:styleId="NotedebasdepageCar">
    <w:name w:val="Note de bas de page Car"/>
    <w:basedOn w:val="Policepardfaut"/>
    <w:link w:val="Notedebasdepage"/>
    <w:uiPriority w:val="99"/>
    <w:rsid w:val="00014DCA"/>
    <w:rPr>
      <w:rFonts w:ascii="Garamond" w:hAnsi="Garamond"/>
      <w:sz w:val="22"/>
      <w:szCs w:val="20"/>
    </w:rPr>
  </w:style>
  <w:style w:type="paragraph" w:styleId="Pieddepage">
    <w:name w:val="footer"/>
    <w:basedOn w:val="Normal"/>
    <w:link w:val="PieddepageCar"/>
    <w:uiPriority w:val="99"/>
    <w:unhideWhenUsed/>
    <w:rsid w:val="008750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5096"/>
  </w:style>
  <w:style w:type="paragraph" w:styleId="En-tte">
    <w:name w:val="header"/>
    <w:basedOn w:val="Normal"/>
    <w:link w:val="En-tteCar"/>
    <w:uiPriority w:val="99"/>
    <w:unhideWhenUsed/>
    <w:rsid w:val="00FD61E0"/>
    <w:pPr>
      <w:tabs>
        <w:tab w:val="center" w:pos="4536"/>
        <w:tab w:val="right" w:pos="9072"/>
      </w:tabs>
      <w:spacing w:after="0" w:line="240" w:lineRule="auto"/>
    </w:pPr>
  </w:style>
  <w:style w:type="character" w:customStyle="1" w:styleId="En-tteCar">
    <w:name w:val="En-tête Car"/>
    <w:basedOn w:val="Policepardfaut"/>
    <w:link w:val="En-tte"/>
    <w:uiPriority w:val="99"/>
    <w:rsid w:val="00FD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1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B67C-8C97-4ECD-913C-BA9B3BFA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1941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LC</cp:lastModifiedBy>
  <cp:revision>4</cp:revision>
  <cp:lastPrinted>2020-01-15T11:16:00Z</cp:lastPrinted>
  <dcterms:created xsi:type="dcterms:W3CDTF">2023-01-16T15:30:00Z</dcterms:created>
  <dcterms:modified xsi:type="dcterms:W3CDTF">2023-01-19T22:21:00Z</dcterms:modified>
</cp:coreProperties>
</file>