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7" w:rsidRPr="00277312" w:rsidRDefault="00F54917" w:rsidP="00F54917">
      <w:pPr>
        <w:spacing w:after="0"/>
        <w:jc w:val="right"/>
      </w:pPr>
      <w:r>
        <w:t>M</w:t>
      </w:r>
      <w:r w:rsidRPr="00277312">
        <w:t xml:space="preserve">1 – </w:t>
      </w:r>
      <w:r>
        <w:t>Grandes doctrines</w:t>
      </w:r>
      <w:r w:rsidR="00ED49DC">
        <w:t xml:space="preserve"> [UEF 1]</w:t>
      </w:r>
      <w:r w:rsidR="007C14DE">
        <w:t xml:space="preserve"> [2178]</w:t>
      </w:r>
      <w:bookmarkStart w:id="0" w:name="_GoBack"/>
      <w:bookmarkEnd w:id="0"/>
    </w:p>
    <w:p w:rsidR="00F54917" w:rsidRPr="00277312" w:rsidRDefault="00F54917" w:rsidP="00F54917">
      <w:pPr>
        <w:spacing w:after="0"/>
        <w:jc w:val="right"/>
      </w:pPr>
      <w:r w:rsidRPr="00277312">
        <w:t>Cours du Professeur Rials</w:t>
      </w:r>
    </w:p>
    <w:p w:rsidR="00F54917" w:rsidRPr="00277312" w:rsidRDefault="00F54917" w:rsidP="00F54917">
      <w:pPr>
        <w:spacing w:after="0"/>
        <w:jc w:val="right"/>
      </w:pPr>
      <w:r w:rsidRPr="00277312">
        <w:t>Examen</w:t>
      </w:r>
      <w:r>
        <w:t xml:space="preserve"> de l’hiver 2017</w:t>
      </w:r>
    </w:p>
    <w:p w:rsidR="00F54917" w:rsidRDefault="00F54917"/>
    <w:p w:rsidR="00F54917" w:rsidRDefault="00F54917"/>
    <w:p w:rsidR="00F54917" w:rsidRPr="00ED49DC" w:rsidRDefault="00F54917">
      <w:pPr>
        <w:rPr>
          <w:i/>
        </w:rPr>
      </w:pPr>
      <w:r>
        <w:rPr>
          <w:i/>
        </w:rPr>
        <w:t xml:space="preserve">NB : le corrigé des questions complémentaires sera porté immédiatement après l’examen sur le site </w:t>
      </w:r>
      <w:r>
        <w:t>assasri.wordpress.com</w:t>
      </w:r>
      <w:r w:rsidR="00ED49DC">
        <w:t xml:space="preserve"> </w:t>
      </w:r>
      <w:r w:rsidR="00ED49DC">
        <w:rPr>
          <w:i/>
        </w:rPr>
        <w:t>[les présentes pages mais avec les « bonnes » réponses soulignées et portées en gras]</w:t>
      </w:r>
    </w:p>
    <w:p w:rsidR="00F54917" w:rsidRDefault="00F54917"/>
    <w:p w:rsidR="00F54917" w:rsidRPr="00B93463" w:rsidRDefault="00F54917">
      <w:pPr>
        <w:rPr>
          <w:b/>
          <w:u w:val="single"/>
        </w:rPr>
      </w:pPr>
      <w:r w:rsidRPr="00B93463">
        <w:rPr>
          <w:b/>
          <w:u w:val="single"/>
        </w:rPr>
        <w:t>Documents autorisés :</w:t>
      </w:r>
    </w:p>
    <w:p w:rsidR="00B93463" w:rsidRPr="00B93463" w:rsidRDefault="00B93463" w:rsidP="00B93463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  <w:r w:rsidRPr="00252970">
        <w:rPr>
          <w:rFonts w:cs="LibreBaskerville-Regular"/>
          <w:szCs w:val="48"/>
          <w:u w:val="single"/>
        </w:rPr>
        <w:t>Tous documents</w:t>
      </w:r>
      <w:r w:rsidRPr="00B93463">
        <w:rPr>
          <w:rFonts w:cs="LibreBaskerville-Regular"/>
          <w:szCs w:val="48"/>
        </w:rPr>
        <w:t xml:space="preserve"> sont autorisés – livres [le cas échéant annotés], notes manuscrites ou dactylographiées, photocopies, </w:t>
      </w:r>
      <w:r w:rsidRPr="00B93463">
        <w:rPr>
          <w:rFonts w:cs="LibreBaskerville-Italic"/>
          <w:i/>
          <w:iCs/>
          <w:szCs w:val="48"/>
        </w:rPr>
        <w:t xml:space="preserve">etc. </w:t>
      </w:r>
      <w:r w:rsidRPr="00B93463">
        <w:rPr>
          <w:rFonts w:cs="LibreBaskerville-Regular"/>
          <w:szCs w:val="48"/>
        </w:rPr>
        <w:t>Je dis bien : TOUS.</w:t>
      </w:r>
      <w:r w:rsidR="00252970">
        <w:rPr>
          <w:rFonts w:cs="LibreBaskerville-Regular"/>
          <w:szCs w:val="48"/>
        </w:rPr>
        <w:t xml:space="preserve"> </w:t>
      </w:r>
      <w:r w:rsidR="008E7D58">
        <w:rPr>
          <w:rFonts w:cs="LibreBaskerville-Regular"/>
          <w:szCs w:val="48"/>
        </w:rPr>
        <w:t>[</w:t>
      </w:r>
      <w:r w:rsidR="00252970">
        <w:rPr>
          <w:rFonts w:cs="LibreBaskerville-Regular"/>
          <w:szCs w:val="48"/>
        </w:rPr>
        <w:t>Les personnes chargées de la surveillance ne doivent pas être surprises de voir les candidats recopier un texte déjà composé : les sujets de l’exercice principal ont été c</w:t>
      </w:r>
      <w:r w:rsidR="002F78BD">
        <w:rPr>
          <w:rFonts w:cs="LibreBaskerville-Regular"/>
          <w:szCs w:val="48"/>
        </w:rPr>
        <w:t>ommuniqués aux étudiants dans l</w:t>
      </w:r>
      <w:r w:rsidR="00252970">
        <w:rPr>
          <w:rFonts w:cs="LibreBaskerville-Regular"/>
          <w:szCs w:val="48"/>
        </w:rPr>
        <w:t>a considération de l’impossibilité pour de tout jeunes gens</w:t>
      </w:r>
      <w:r w:rsidR="002F78BD">
        <w:rPr>
          <w:rFonts w:cs="LibreBaskerville-Regular"/>
          <w:szCs w:val="48"/>
        </w:rPr>
        <w:t>, qui tout à la fois manquent encore de métier</w:t>
      </w:r>
      <w:r w:rsidR="008E7D58">
        <w:rPr>
          <w:rFonts w:cs="LibreBaskerville-Regular"/>
          <w:szCs w:val="48"/>
        </w:rPr>
        <w:t xml:space="preserve"> en de tels domaines</w:t>
      </w:r>
      <w:r w:rsidR="002F78BD">
        <w:rPr>
          <w:rFonts w:cs="LibreBaskerville-Regular"/>
          <w:szCs w:val="48"/>
        </w:rPr>
        <w:t xml:space="preserve"> et ne se sont que rarement dotés d’une doctrine</w:t>
      </w:r>
      <w:r w:rsidR="008E7D58">
        <w:rPr>
          <w:rFonts w:cs="LibreBaskerville-Regular"/>
          <w:szCs w:val="48"/>
        </w:rPr>
        <w:t xml:space="preserve"> personnelle </w:t>
      </w:r>
      <w:proofErr w:type="gramStart"/>
      <w:r w:rsidR="008E7D58">
        <w:rPr>
          <w:rFonts w:cs="LibreBaskerville-Regular"/>
          <w:szCs w:val="48"/>
        </w:rPr>
        <w:t>patiemment</w:t>
      </w:r>
      <w:proofErr w:type="gramEnd"/>
      <w:r w:rsidR="008E7D58">
        <w:rPr>
          <w:rFonts w:cs="LibreBaskerville-Regular"/>
          <w:szCs w:val="48"/>
        </w:rPr>
        <w:t xml:space="preserve"> mûrie</w:t>
      </w:r>
      <w:r w:rsidR="002F78BD">
        <w:rPr>
          <w:rFonts w:cs="LibreBaskerville-Regular"/>
          <w:szCs w:val="48"/>
        </w:rPr>
        <w:t>,</w:t>
      </w:r>
      <w:r w:rsidR="00252970">
        <w:rPr>
          <w:rFonts w:cs="LibreBaskerville-Regular"/>
          <w:szCs w:val="48"/>
        </w:rPr>
        <w:t xml:space="preserve"> de composer quoi que ce soit d’un peu profond</w:t>
      </w:r>
      <w:r w:rsidR="002F78BD">
        <w:rPr>
          <w:rFonts w:cs="LibreBaskerville-Regular"/>
          <w:szCs w:val="48"/>
        </w:rPr>
        <w:t>, ou qui le semble,</w:t>
      </w:r>
      <w:r w:rsidR="00252970">
        <w:rPr>
          <w:rFonts w:cs="LibreBaskerville-Regular"/>
          <w:szCs w:val="48"/>
        </w:rPr>
        <w:t xml:space="preserve"> sur </w:t>
      </w:r>
      <w:r w:rsidR="008E7D58">
        <w:rPr>
          <w:rFonts w:cs="LibreBaskerville-Regular"/>
          <w:szCs w:val="48"/>
        </w:rPr>
        <w:t xml:space="preserve">une </w:t>
      </w:r>
      <w:r w:rsidR="00252970">
        <w:rPr>
          <w:rFonts w:cs="LibreBaskerville-Regular"/>
          <w:szCs w:val="48"/>
        </w:rPr>
        <w:t>question difficile</w:t>
      </w:r>
      <w:r w:rsidR="002F78BD">
        <w:rPr>
          <w:rFonts w:cs="LibreBaskerville-Regular"/>
          <w:szCs w:val="48"/>
        </w:rPr>
        <w:t>,</w:t>
      </w:r>
      <w:r w:rsidR="00252970">
        <w:rPr>
          <w:rFonts w:cs="LibreBaskerville-Regular"/>
          <w:szCs w:val="48"/>
        </w:rPr>
        <w:t xml:space="preserve"> en un souffle de temps.</w:t>
      </w:r>
      <w:r w:rsidR="008E7D58">
        <w:rPr>
          <w:rFonts w:cs="LibreBaskerville-Regular"/>
          <w:szCs w:val="48"/>
        </w:rPr>
        <w:t>]</w:t>
      </w:r>
    </w:p>
    <w:p w:rsidR="00F54917" w:rsidRPr="00B93463" w:rsidRDefault="00B93463" w:rsidP="00B93463">
      <w:r w:rsidRPr="00B93463">
        <w:rPr>
          <w:rFonts w:cs="LibreBaskerville-Regular"/>
          <w:szCs w:val="48"/>
        </w:rPr>
        <w:t xml:space="preserve">Toutefois </w:t>
      </w:r>
      <w:r w:rsidR="002F78BD">
        <w:rPr>
          <w:rFonts w:cs="LibreBaskerville-Regular"/>
          <w:szCs w:val="48"/>
        </w:rPr>
        <w:t>l’on ne pourra se</w:t>
      </w:r>
      <w:r w:rsidRPr="00B93463">
        <w:rPr>
          <w:rFonts w:cs="LibreBaskerville-Regular"/>
          <w:szCs w:val="48"/>
        </w:rPr>
        <w:t xml:space="preserve"> servir d’un ordinateur, d’une tablette, d’un téléphone portable ou de tout instrument électronique autorisant les mêmes fonctionnalités. Cela ne me gênerait pas vraiment à titre personnel, mais je dois éviter de semer un trouble excessif – il est possible d’ailleurs qu’il y ait ici des dispositions réglementaires, y compris locales.</w:t>
      </w:r>
    </w:p>
    <w:p w:rsidR="00F54917" w:rsidRDefault="00F54917"/>
    <w:p w:rsidR="00F54917" w:rsidRPr="00B93463" w:rsidRDefault="00F54917">
      <w:pPr>
        <w:rPr>
          <w:b/>
          <w:u w:val="single"/>
        </w:rPr>
      </w:pPr>
      <w:r w:rsidRPr="00B93463">
        <w:rPr>
          <w:b/>
          <w:u w:val="single"/>
        </w:rPr>
        <w:t>Sujets :</w:t>
      </w:r>
    </w:p>
    <w:p w:rsidR="00F54917" w:rsidRDefault="00F54917">
      <w:r>
        <w:t xml:space="preserve">Vous êtes invités à choisir </w:t>
      </w:r>
      <w:r w:rsidRPr="00F54917">
        <w:rPr>
          <w:u w:val="single"/>
        </w:rPr>
        <w:t>un seul</w:t>
      </w:r>
      <w:r>
        <w:t xml:space="preserve"> des sujets de dissertation </w:t>
      </w:r>
      <w:r w:rsidRPr="00F54917">
        <w:rPr>
          <w:i/>
        </w:rPr>
        <w:t>[Exercice principal</w:t>
      </w:r>
      <w:r w:rsidR="00B93463">
        <w:rPr>
          <w:i/>
        </w:rPr>
        <w:t xml:space="preserve"> </w:t>
      </w:r>
      <w:r w:rsidR="00B93463">
        <w:t>noté sur quatorze</w:t>
      </w:r>
      <w:r w:rsidRPr="00F54917">
        <w:rPr>
          <w:i/>
        </w:rPr>
        <w:t>]</w:t>
      </w:r>
      <w:r>
        <w:t>. Veuillez bien porter votre choix au début de votre dissertation.</w:t>
      </w:r>
    </w:p>
    <w:p w:rsidR="00B93463" w:rsidRDefault="00F54917">
      <w:r>
        <w:t xml:space="preserve">Vous êtes tous appelés à répondre </w:t>
      </w:r>
      <w:r>
        <w:rPr>
          <w:u w:val="single"/>
        </w:rPr>
        <w:t>à toutes les</w:t>
      </w:r>
      <w:r>
        <w:t xml:space="preserve"> questions du bref QCM </w:t>
      </w:r>
      <w:r w:rsidRPr="00F54917">
        <w:rPr>
          <w:i/>
        </w:rPr>
        <w:t>[Exercice complémentaire</w:t>
      </w:r>
      <w:r w:rsidR="00B93463">
        <w:rPr>
          <w:i/>
        </w:rPr>
        <w:t xml:space="preserve"> </w:t>
      </w:r>
      <w:r w:rsidR="00B93463">
        <w:t>noté sur six à raison d’un point par réponse souhaitée</w:t>
      </w:r>
      <w:r w:rsidR="00E112B4">
        <w:t xml:space="preserve"> – un point supplémentaire sera ajouté à ceux qui donneront six « bonnes » réponses sur six – l’on portera sept et non pas six</w:t>
      </w:r>
      <w:r w:rsidRPr="00F54917">
        <w:rPr>
          <w:i/>
        </w:rPr>
        <w:t>]</w:t>
      </w:r>
      <w:r>
        <w:t>.</w:t>
      </w:r>
      <w:r w:rsidR="00B93463">
        <w:t xml:space="preserve"> Vous reporterez vos réponses </w:t>
      </w:r>
      <w:r w:rsidR="00B93463" w:rsidRPr="00B93463">
        <w:rPr>
          <w:u w:val="single"/>
        </w:rPr>
        <w:t>au début de votre copie</w:t>
      </w:r>
      <w:r w:rsidR="00B93463">
        <w:t xml:space="preserve"> sur le modèle suivant :</w:t>
      </w:r>
    </w:p>
    <w:p w:rsidR="00B93463" w:rsidRDefault="00B93463">
      <w:r>
        <w:t>Question x – réponse z</w:t>
      </w:r>
    </w:p>
    <w:p w:rsidR="00B93463" w:rsidRDefault="00B93463"/>
    <w:p w:rsidR="00B93463" w:rsidRDefault="00B93463">
      <w:pPr>
        <w:rPr>
          <w:i/>
        </w:rPr>
      </w:pPr>
      <w:r>
        <w:rPr>
          <w:i/>
        </w:rPr>
        <w:lastRenderedPageBreak/>
        <w:t>Exercice principal :</w:t>
      </w:r>
    </w:p>
    <w:p w:rsidR="00252970" w:rsidRDefault="00B93463" w:rsidP="00B93463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  <w:r w:rsidRPr="00252970">
        <w:rPr>
          <w:rFonts w:cs="LibreBaskerville-Regular"/>
          <w:szCs w:val="48"/>
        </w:rPr>
        <w:t>Au choix :</w:t>
      </w:r>
    </w:p>
    <w:p w:rsidR="00B93463" w:rsidRPr="00252970" w:rsidRDefault="00B93463" w:rsidP="00B93463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</w:p>
    <w:p w:rsidR="008E7D58" w:rsidRDefault="00252970" w:rsidP="00252970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  <w:r>
        <w:rPr>
          <w:rFonts w:cs="LibreBaskerville-Regular"/>
          <w:szCs w:val="48"/>
        </w:rPr>
        <w:t>1</w:t>
      </w:r>
      <w:r w:rsidRPr="00252970">
        <w:rPr>
          <w:rFonts w:cs="LibreBaskerville-Regular"/>
          <w:szCs w:val="48"/>
          <w:vertAlign w:val="superscript"/>
        </w:rPr>
        <w:t>er</w:t>
      </w:r>
      <w:r>
        <w:rPr>
          <w:rFonts w:cs="LibreBaskerville-Regular"/>
          <w:szCs w:val="48"/>
        </w:rPr>
        <w:t xml:space="preserve"> sujet : </w:t>
      </w:r>
      <w:r w:rsidR="00B93463" w:rsidRPr="00252970">
        <w:rPr>
          <w:rFonts w:cs="LibreBaskerville-Regular"/>
          <w:szCs w:val="48"/>
        </w:rPr>
        <w:t>Vous traiterez, selon les perspectives que vous attribuez à Rousseau, le sujet suivant : le regard.</w:t>
      </w:r>
    </w:p>
    <w:p w:rsidR="00252970" w:rsidRDefault="00252970" w:rsidP="00252970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</w:p>
    <w:p w:rsidR="00B93463" w:rsidRPr="00252970" w:rsidRDefault="00252970" w:rsidP="00252970">
      <w:pPr>
        <w:widowControl w:val="0"/>
        <w:autoSpaceDE w:val="0"/>
        <w:autoSpaceDN w:val="0"/>
        <w:adjustRightInd w:val="0"/>
        <w:spacing w:after="0"/>
        <w:rPr>
          <w:rFonts w:cs="LibreBaskerville-Regular"/>
          <w:szCs w:val="48"/>
        </w:rPr>
      </w:pPr>
      <w:r>
        <w:rPr>
          <w:rFonts w:cs="LibreBaskerville-Regular"/>
          <w:szCs w:val="48"/>
        </w:rPr>
        <w:t>2</w:t>
      </w:r>
      <w:r w:rsidRPr="00252970">
        <w:rPr>
          <w:rFonts w:cs="LibreBaskerville-Regular"/>
          <w:szCs w:val="48"/>
          <w:vertAlign w:val="superscript"/>
        </w:rPr>
        <w:t>e</w:t>
      </w:r>
      <w:r>
        <w:rPr>
          <w:rFonts w:cs="LibreBaskerville-Regular"/>
          <w:szCs w:val="48"/>
        </w:rPr>
        <w:t xml:space="preserve"> sujet : </w:t>
      </w:r>
      <w:r w:rsidR="00B93463" w:rsidRPr="00252970">
        <w:rPr>
          <w:rFonts w:cs="LibreBaskerville-Regular"/>
          <w:szCs w:val="48"/>
        </w:rPr>
        <w:t>Vous traiterez, selon les perspectives que vous attribuez à Rousseau, le sujet suivant : l’homme.</w:t>
      </w:r>
    </w:p>
    <w:p w:rsidR="00B93463" w:rsidRDefault="00B93463">
      <w:pPr>
        <w:rPr>
          <w:i/>
        </w:rPr>
      </w:pPr>
    </w:p>
    <w:p w:rsidR="00B93463" w:rsidRDefault="00B93463">
      <w:pPr>
        <w:rPr>
          <w:i/>
        </w:rPr>
      </w:pPr>
    </w:p>
    <w:p w:rsidR="000F47B6" w:rsidRDefault="00B93463">
      <w:pPr>
        <w:rPr>
          <w:i/>
        </w:rPr>
      </w:pPr>
      <w:r>
        <w:rPr>
          <w:i/>
        </w:rPr>
        <w:t>Exercice complémentaire :</w:t>
      </w:r>
    </w:p>
    <w:p w:rsidR="000F47B6" w:rsidRDefault="000F47B6">
      <w:pPr>
        <w:rPr>
          <w:i/>
        </w:rPr>
      </w:pPr>
    </w:p>
    <w:p w:rsidR="000F47B6" w:rsidRDefault="000F47B6">
      <w:r>
        <w:t>S’agissant d’un QCM, une seule réponse devra être retenue et portée comme indiqué ci-dessus au début de votre copie.</w:t>
      </w:r>
    </w:p>
    <w:p w:rsidR="000F47B6" w:rsidRDefault="000F47B6"/>
    <w:p w:rsidR="002F4C9A" w:rsidRDefault="000F47B6" w:rsidP="005D4729">
      <w:pPr>
        <w:spacing w:after="0"/>
      </w:pPr>
      <w:r>
        <w:t>Q</w:t>
      </w:r>
      <w:r w:rsidR="00F31F53">
        <w:t>UESTION I</w:t>
      </w:r>
    </w:p>
    <w:p w:rsidR="002F4C9A" w:rsidRDefault="002F4C9A" w:rsidP="005D4729">
      <w:pPr>
        <w:spacing w:after="0"/>
      </w:pPr>
      <w:r>
        <w:t>Du « mercantilisme », tel qu’il a rayonné, doctrinalement mais surtout dans la pratique des États européens au XVIIe siècle, diriez-vous qu’il se manifestait en particulier par</w:t>
      </w:r>
    </w:p>
    <w:p w:rsidR="002F4C9A" w:rsidRDefault="002F4C9A" w:rsidP="005D4729">
      <w:pPr>
        <w:spacing w:after="0"/>
      </w:pPr>
      <w:r>
        <w:t>A. Une politique tarifaire attentive</w:t>
      </w:r>
    </w:p>
    <w:p w:rsidR="002F4C9A" w:rsidRDefault="002F4C9A" w:rsidP="005D4729">
      <w:pPr>
        <w:spacing w:after="0"/>
      </w:pPr>
      <w:r>
        <w:t>B. Un encouragement donné au commerce international</w:t>
      </w:r>
    </w:p>
    <w:p w:rsidR="002F4C9A" w:rsidRDefault="002F4C9A" w:rsidP="005D4729">
      <w:pPr>
        <w:spacing w:after="0"/>
      </w:pPr>
      <w:r>
        <w:t>C. Une interpénétration po</w:t>
      </w:r>
      <w:r w:rsidR="007E5CA7">
        <w:t>ussée de ce que nous distingueri</w:t>
      </w:r>
      <w:r>
        <w:t>ons comme puissance publique et intérêts privés</w:t>
      </w:r>
    </w:p>
    <w:p w:rsidR="002F4C9A" w:rsidRDefault="002F4C9A" w:rsidP="005D4729">
      <w:pPr>
        <w:spacing w:after="0"/>
      </w:pPr>
      <w:r>
        <w:t>D. Un dirigisme souple</w:t>
      </w:r>
    </w:p>
    <w:p w:rsidR="007E5CA7" w:rsidRDefault="002F4C9A" w:rsidP="005D4729">
      <w:pPr>
        <w:spacing w:after="0"/>
      </w:pPr>
      <w:r>
        <w:t>E. Un « bullionisme » raisonné</w:t>
      </w:r>
    </w:p>
    <w:p w:rsidR="007E5CA7" w:rsidRPr="00155292" w:rsidRDefault="007E5CA7" w:rsidP="005D4729">
      <w:pPr>
        <w:spacing w:after="0"/>
      </w:pPr>
      <w:r w:rsidRPr="00155292">
        <w:t>F. Une considération favorable des entreprises coloniales</w:t>
      </w:r>
    </w:p>
    <w:p w:rsidR="007E5CA7" w:rsidRPr="007E5CA7" w:rsidRDefault="007E5CA7" w:rsidP="005D4729">
      <w:pPr>
        <w:spacing w:after="0"/>
        <w:rPr>
          <w:b/>
          <w:u w:val="single"/>
        </w:rPr>
      </w:pPr>
      <w:r w:rsidRPr="00155292">
        <w:t>G. L’ensemble de ces traits sans exception</w:t>
      </w:r>
    </w:p>
    <w:p w:rsidR="00F31F53" w:rsidRDefault="007E5CA7" w:rsidP="005D4729">
      <w:pPr>
        <w:spacing w:after="0"/>
      </w:pPr>
      <w:r>
        <w:t>H. L’ensemble de ces traits à l’exception de deux</w:t>
      </w:r>
    </w:p>
    <w:p w:rsidR="00F31F53" w:rsidRDefault="00F31F53" w:rsidP="005D4729">
      <w:pPr>
        <w:spacing w:after="0"/>
      </w:pPr>
    </w:p>
    <w:p w:rsidR="007E5CA7" w:rsidRDefault="00F31F53" w:rsidP="005D4729">
      <w:pPr>
        <w:spacing w:after="0"/>
      </w:pPr>
      <w:r>
        <w:t>Q</w:t>
      </w:r>
      <w:r w:rsidR="007E5CA7">
        <w:t>UESTION II</w:t>
      </w:r>
    </w:p>
    <w:p w:rsidR="007E5CA7" w:rsidRDefault="007E5CA7" w:rsidP="005D4729">
      <w:pPr>
        <w:spacing w:after="0"/>
      </w:pPr>
      <w:r>
        <w:t xml:space="preserve">Laquelle des propositions suivantes vous </w:t>
      </w:r>
      <w:proofErr w:type="gramStart"/>
      <w:r>
        <w:t>semble-</w:t>
      </w:r>
      <w:proofErr w:type="gramEnd"/>
      <w:r>
        <w:t>elle mériter d’être retenue concernant les mines du Potosi ?</w:t>
      </w:r>
    </w:p>
    <w:p w:rsidR="007E5CA7" w:rsidRDefault="007E5CA7" w:rsidP="005D4729">
      <w:pPr>
        <w:spacing w:after="0"/>
      </w:pPr>
      <w:r>
        <w:t>A</w:t>
      </w:r>
      <w:r w:rsidR="00F96638">
        <w:t xml:space="preserve"> Ces mines d’or très abondantes, découvertes très tôt</w:t>
      </w:r>
      <w:r w:rsidR="002C651E">
        <w:t xml:space="preserve"> non loin de Mexico, dans la vice-royauté de Nouvelle-Espagne</w:t>
      </w:r>
      <w:r w:rsidR="00F96638">
        <w:t xml:space="preserve">, atteignirent </w:t>
      </w:r>
      <w:r w:rsidR="002C651E">
        <w:t>une production fabuleuse dans les années trente du XVIe siècle, avant d’entrer dans un déclin rapide</w:t>
      </w:r>
    </w:p>
    <w:p w:rsidR="007E5CA7" w:rsidRPr="00155292" w:rsidRDefault="007E5CA7" w:rsidP="005D4729">
      <w:pPr>
        <w:spacing w:after="0"/>
      </w:pPr>
      <w:r>
        <w:t>B</w:t>
      </w:r>
      <w:r w:rsidR="002C651E">
        <w:t xml:space="preserve"> Les mines d’or du Potosi, dites encore Minas </w:t>
      </w:r>
      <w:proofErr w:type="spellStart"/>
      <w:r w:rsidR="002C651E">
        <w:t>Gerais</w:t>
      </w:r>
      <w:proofErr w:type="spellEnd"/>
      <w:r w:rsidR="002C651E">
        <w:t>, ne furent découvertes, au Brés</w:t>
      </w:r>
      <w:r w:rsidR="00C57EB7">
        <w:t xml:space="preserve">il, qu’à la fin du XVIIe siècle, emportant un très sensible essor de </w:t>
      </w:r>
      <w:r w:rsidR="00C57EB7">
        <w:lastRenderedPageBreak/>
        <w:t xml:space="preserve">l’économie portugaise. C’est en 1735 que fut mise au point la fameuse méthode dite </w:t>
      </w:r>
      <w:proofErr w:type="spellStart"/>
      <w:r w:rsidR="00C57EB7">
        <w:t>Fejoada</w:t>
      </w:r>
      <w:proofErr w:type="spellEnd"/>
      <w:r w:rsidR="00C57EB7">
        <w:t xml:space="preserve">, consistant à purifier l’or en le faisant bouillir dans une </w:t>
      </w:r>
      <w:r w:rsidR="00C57EB7" w:rsidRPr="00155292">
        <w:t>grande marmite de haricots noirs [qui demeuraient comestibles]</w:t>
      </w:r>
    </w:p>
    <w:p w:rsidR="007E5CA7" w:rsidRPr="00F96638" w:rsidRDefault="007E5CA7" w:rsidP="005D4729">
      <w:pPr>
        <w:spacing w:after="0"/>
        <w:rPr>
          <w:u w:val="single"/>
        </w:rPr>
      </w:pPr>
      <w:r w:rsidRPr="00155292">
        <w:t>C Ces mines d’argent, situées dans</w:t>
      </w:r>
      <w:r w:rsidR="00F96638" w:rsidRPr="00155292">
        <w:t xml:space="preserve"> le Haut-Pérou,</w:t>
      </w:r>
      <w:r w:rsidRPr="00155292">
        <w:t xml:space="preserve"> ce qui deviendra la Bolivie</w:t>
      </w:r>
      <w:r w:rsidR="00C05477" w:rsidRPr="00155292">
        <w:t xml:space="preserve"> [mais relevait alors de la vice-royauté du Pérou]</w:t>
      </w:r>
      <w:r w:rsidRPr="00155292">
        <w:t>,</w:t>
      </w:r>
      <w:r w:rsidR="00C05477" w:rsidRPr="00155292">
        <w:t xml:space="preserve"> furent découvertes en 1545, si leur production s’envola à partir de 1570, le traitement du minerai se trouvant optimisé par la technique malsaine mais efficace de l’amalgame au mercure</w:t>
      </w:r>
    </w:p>
    <w:p w:rsidR="007E5CA7" w:rsidRDefault="007E5CA7" w:rsidP="005D4729">
      <w:pPr>
        <w:spacing w:after="0"/>
      </w:pPr>
    </w:p>
    <w:p w:rsidR="007E5CA7" w:rsidRDefault="007E5CA7" w:rsidP="005D4729">
      <w:pPr>
        <w:spacing w:after="0"/>
      </w:pPr>
    </w:p>
    <w:p w:rsidR="00FB3920" w:rsidRDefault="007E5CA7" w:rsidP="005D4729">
      <w:pPr>
        <w:spacing w:after="0"/>
      </w:pPr>
      <w:r>
        <w:t>Q</w:t>
      </w:r>
      <w:r w:rsidR="00FB3920">
        <w:t>UESTION III</w:t>
      </w:r>
    </w:p>
    <w:p w:rsidR="006B3678" w:rsidRDefault="00FB3920" w:rsidP="005D4729">
      <w:pPr>
        <w:spacing w:after="0"/>
      </w:pPr>
      <w:r>
        <w:t>Voici un texte fameux, exposant la doctrine que l’on dit volonti</w:t>
      </w:r>
      <w:r w:rsidR="006B3678">
        <w:t xml:space="preserve">ers de </w:t>
      </w:r>
      <w:proofErr w:type="gramStart"/>
      <w:r w:rsidR="006B3678">
        <w:t>l’ avantage</w:t>
      </w:r>
      <w:proofErr w:type="gramEnd"/>
      <w:r w:rsidR="006B3678">
        <w:t xml:space="preserve"> comparatif » :</w:t>
      </w:r>
    </w:p>
    <w:p w:rsidR="006B3678" w:rsidRPr="006B3678" w:rsidRDefault="006B3678" w:rsidP="005D4729">
      <w:pPr>
        <w:spacing w:after="0"/>
      </w:pPr>
      <w:r>
        <w:rPr>
          <w:rFonts w:cs="LibreBaskerville-Regular"/>
          <w:color w:val="313131"/>
          <w:szCs w:val="48"/>
        </w:rPr>
        <w:t>« </w:t>
      </w:r>
      <w:r w:rsidRPr="006B3678">
        <w:rPr>
          <w:rFonts w:cs="LibreBaskerville-Regular"/>
          <w:color w:val="313131"/>
          <w:szCs w:val="48"/>
        </w:rPr>
        <w:t>Dans un système d’entière liberté de commerce, chaque pays consacre son capital et son industrie à tel emploi qui lui paraît le plus utile. Les vues de l’intérêt individuel s’accordent parfaitement avec le bien universel de toute la société. […] l’accroissement de la masse générale des produits répand partout le bien-être ; l’échange lie entre elles toutes les nations du monde civilisé par les nœuds communs de l’intérêt, par des relations amicales, et en fait une seule et grande société. C’es</w:t>
      </w:r>
      <w:r>
        <w:rPr>
          <w:rFonts w:cs="LibreBaskerville-Regular"/>
          <w:color w:val="313131"/>
          <w:szCs w:val="48"/>
        </w:rPr>
        <w:t>t</w:t>
      </w:r>
      <w:r w:rsidRPr="006B3678">
        <w:rPr>
          <w:rFonts w:cs="LibreBaskerville-Regular"/>
          <w:color w:val="313131"/>
          <w:szCs w:val="48"/>
        </w:rPr>
        <w:t xml:space="preserve"> ce principe qui veut qu’on fasse du vin en France et en Portugal, qu’on cultive du blé en Pologne et aux Etats-Unis, et qu’on fasse de la quincaillerie et d’autres articles en Angleterre.</w:t>
      </w:r>
      <w:r>
        <w:rPr>
          <w:rFonts w:cs="LibreBaskerville-Regular"/>
          <w:color w:val="313131"/>
          <w:szCs w:val="48"/>
        </w:rPr>
        <w:t> »</w:t>
      </w:r>
      <w:r w:rsidR="00FB3920" w:rsidRPr="006B3678">
        <w:t xml:space="preserve"> </w:t>
      </w:r>
    </w:p>
    <w:p w:rsidR="00FB3920" w:rsidRDefault="00FB3920" w:rsidP="005D4729">
      <w:pPr>
        <w:spacing w:after="0"/>
      </w:pPr>
      <w:r>
        <w:t>De quelle plume est-il ?</w:t>
      </w:r>
    </w:p>
    <w:p w:rsidR="00FB3920" w:rsidRDefault="00FB3920" w:rsidP="005D4729">
      <w:pPr>
        <w:spacing w:after="0"/>
      </w:pPr>
      <w:r>
        <w:t>A. François Quesnay</w:t>
      </w:r>
    </w:p>
    <w:p w:rsidR="00FB3920" w:rsidRDefault="00FB3920" w:rsidP="005D4729">
      <w:pPr>
        <w:spacing w:after="0"/>
      </w:pPr>
      <w:r>
        <w:t>B. Karl Marx</w:t>
      </w:r>
    </w:p>
    <w:p w:rsidR="00FB3920" w:rsidRDefault="00FB3920" w:rsidP="005D4729">
      <w:pPr>
        <w:spacing w:after="0"/>
      </w:pPr>
      <w:r>
        <w:t>C. Adam Smith</w:t>
      </w:r>
    </w:p>
    <w:p w:rsidR="00FB3920" w:rsidRPr="00155292" w:rsidRDefault="00FB3920" w:rsidP="005D4729">
      <w:pPr>
        <w:spacing w:after="0"/>
      </w:pPr>
      <w:r w:rsidRPr="00155292">
        <w:t>D.</w:t>
      </w:r>
      <w:r w:rsidR="006B3678" w:rsidRPr="00155292">
        <w:t xml:space="preserve"> Jean-Jacques Rousseau</w:t>
      </w:r>
    </w:p>
    <w:p w:rsidR="00FB3920" w:rsidRPr="007C14DE" w:rsidRDefault="00FB3920" w:rsidP="005D4729">
      <w:pPr>
        <w:spacing w:after="0"/>
        <w:rPr>
          <w:lang w:val="en-US"/>
        </w:rPr>
      </w:pPr>
      <w:r w:rsidRPr="007C14DE">
        <w:rPr>
          <w:lang w:val="en-US"/>
        </w:rPr>
        <w:t>E. David Ricardo</w:t>
      </w:r>
    </w:p>
    <w:p w:rsidR="00FB3920" w:rsidRPr="007C14DE" w:rsidRDefault="00FB3920" w:rsidP="005D4729">
      <w:pPr>
        <w:spacing w:after="0"/>
        <w:rPr>
          <w:lang w:val="en-US"/>
        </w:rPr>
      </w:pPr>
    </w:p>
    <w:p w:rsidR="00F8285F" w:rsidRPr="007C14DE" w:rsidRDefault="00FB3920" w:rsidP="005D4729">
      <w:pPr>
        <w:spacing w:after="0"/>
        <w:rPr>
          <w:lang w:val="en-US"/>
        </w:rPr>
      </w:pPr>
      <w:r w:rsidRPr="007C14DE">
        <w:rPr>
          <w:lang w:val="en-US"/>
        </w:rPr>
        <w:t>Q</w:t>
      </w:r>
      <w:r w:rsidR="000F47B6" w:rsidRPr="007C14DE">
        <w:rPr>
          <w:lang w:val="en-US"/>
        </w:rPr>
        <w:t xml:space="preserve">UESTION </w:t>
      </w:r>
      <w:proofErr w:type="gramStart"/>
      <w:r w:rsidR="000F47B6" w:rsidRPr="007C14DE">
        <w:rPr>
          <w:lang w:val="en-US"/>
        </w:rPr>
        <w:t>I</w:t>
      </w:r>
      <w:r w:rsidR="006B3678" w:rsidRPr="007C14DE">
        <w:rPr>
          <w:lang w:val="en-US"/>
        </w:rPr>
        <w:t>V</w:t>
      </w:r>
      <w:r w:rsidR="000F47B6" w:rsidRPr="007C14DE">
        <w:rPr>
          <w:lang w:val="en-US"/>
        </w:rPr>
        <w:t> :</w:t>
      </w:r>
      <w:proofErr w:type="gramEnd"/>
    </w:p>
    <w:p w:rsidR="00F8285F" w:rsidRDefault="00F8285F" w:rsidP="005D4729">
      <w:pPr>
        <w:spacing w:after="0"/>
      </w:pPr>
      <w:r>
        <w:t>Qu’est-ce que la « Vulgate » ?</w:t>
      </w:r>
    </w:p>
    <w:p w:rsidR="00F8285F" w:rsidRPr="00155292" w:rsidRDefault="00F8285F" w:rsidP="005D4729">
      <w:pPr>
        <w:spacing w:after="0"/>
      </w:pPr>
      <w:r w:rsidRPr="00155292">
        <w:t>A</w:t>
      </w:r>
      <w:r w:rsidR="006E374D" w:rsidRPr="00155292">
        <w:t>.</w:t>
      </w:r>
      <w:r w:rsidR="00FF162E" w:rsidRPr="00155292">
        <w:t xml:space="preserve"> La traduction latine de la Bible </w:t>
      </w:r>
      <w:r w:rsidR="00065832" w:rsidRPr="00155292">
        <w:t xml:space="preserve">originairement </w:t>
      </w:r>
      <w:r w:rsidR="00FF162E" w:rsidRPr="00155292">
        <w:t>donnée par saint Jérôme</w:t>
      </w:r>
    </w:p>
    <w:p w:rsidR="00F8285F" w:rsidRPr="00FF162E" w:rsidRDefault="00F8285F" w:rsidP="005D4729">
      <w:pPr>
        <w:spacing w:after="0"/>
        <w:rPr>
          <w:i/>
        </w:rPr>
      </w:pPr>
      <w:r>
        <w:t>B</w:t>
      </w:r>
      <w:r w:rsidR="006E374D">
        <w:t>.</w:t>
      </w:r>
      <w:r w:rsidR="00FF162E">
        <w:t xml:space="preserve"> La traduction de la Bible en langue vulgaire – ainsi la traduction allemande de Luther, anglaise de Jacques Ier, française de Lemaistre de </w:t>
      </w:r>
      <w:proofErr w:type="spellStart"/>
      <w:r w:rsidR="00FF162E">
        <w:t>Sacy</w:t>
      </w:r>
      <w:proofErr w:type="spellEnd"/>
      <w:r w:rsidR="00FF162E">
        <w:t xml:space="preserve">, </w:t>
      </w:r>
      <w:r w:rsidR="007D6D4C">
        <w:t xml:space="preserve">italienne de Machiavel, chinoise </w:t>
      </w:r>
      <w:r w:rsidR="00FF162E">
        <w:t>de maî</w:t>
      </w:r>
      <w:r w:rsidR="007D6D4C">
        <w:t>tre Kong [pour nous Confucius]</w:t>
      </w:r>
      <w:r w:rsidR="00FF162E">
        <w:t xml:space="preserve">, </w:t>
      </w:r>
      <w:r w:rsidR="00FF162E">
        <w:rPr>
          <w:i/>
        </w:rPr>
        <w:t>etc.</w:t>
      </w:r>
    </w:p>
    <w:p w:rsidR="00F8285F" w:rsidRDefault="00F8285F" w:rsidP="005D4729">
      <w:pPr>
        <w:spacing w:after="0"/>
      </w:pPr>
      <w:r>
        <w:t>C</w:t>
      </w:r>
      <w:r w:rsidR="006E374D">
        <w:t>.</w:t>
      </w:r>
      <w:r w:rsidR="00DE5A48">
        <w:t xml:space="preserve"> Un délicieux </w:t>
      </w:r>
      <w:r w:rsidR="00FF162E">
        <w:t>exposé populaire</w:t>
      </w:r>
      <w:r w:rsidR="00DE5A48">
        <w:t xml:space="preserve"> versifié du dogme chrétien, donné avant même les conciles de Nicée et Constantinople [qui s’en inspirèrent beaucoup] par le premier évêque de Beauvais [</w:t>
      </w:r>
      <w:proofErr w:type="spellStart"/>
      <w:r w:rsidR="00DE5A48">
        <w:t>Cæsaromagus</w:t>
      </w:r>
      <w:proofErr w:type="spellEnd"/>
      <w:r w:rsidR="00DE5A48">
        <w:t>], saint Lucien martyr</w:t>
      </w:r>
    </w:p>
    <w:p w:rsidR="00F8285F" w:rsidRDefault="00F8285F" w:rsidP="005D4729">
      <w:pPr>
        <w:spacing w:after="0"/>
      </w:pPr>
      <w:r>
        <w:t>D</w:t>
      </w:r>
      <w:r w:rsidR="006E374D">
        <w:t>.</w:t>
      </w:r>
      <w:r w:rsidR="00065832">
        <w:t xml:space="preserve"> L’on appelle en général ainsi la fameuse Septante, traduction de la Bible hébraïque en grec imputée à soixante-dix rabbi</w:t>
      </w:r>
      <w:r w:rsidR="007D6D4C">
        <w:t>ns alexandrins autour de 280 avant</w:t>
      </w:r>
      <w:r w:rsidR="00065832">
        <w:t xml:space="preserve"> l’ère chrétienne</w:t>
      </w:r>
    </w:p>
    <w:p w:rsidR="00F8285F" w:rsidRPr="0060084D" w:rsidRDefault="00F8285F" w:rsidP="005D4729">
      <w:pPr>
        <w:spacing w:after="0"/>
      </w:pPr>
      <w:r>
        <w:lastRenderedPageBreak/>
        <w:t>E</w:t>
      </w:r>
      <w:r w:rsidR="006E374D">
        <w:t>.</w:t>
      </w:r>
      <w:r w:rsidR="0060084D">
        <w:t xml:space="preserve"> La façon dont les frères des Écoles chrétiennes et leurs élèves désignaient </w:t>
      </w:r>
      <w:r w:rsidR="0060084D">
        <w:rPr>
          <w:i/>
        </w:rPr>
        <w:t xml:space="preserve">Les règles de la bienséance et de la civilité  chrétienne </w:t>
      </w:r>
      <w:r w:rsidR="0060084D">
        <w:t>de saint Jean-Baptiste de la Salle</w:t>
      </w:r>
    </w:p>
    <w:p w:rsidR="00F8285F" w:rsidRDefault="00F8285F" w:rsidP="005D4729">
      <w:pPr>
        <w:spacing w:after="0"/>
      </w:pPr>
    </w:p>
    <w:p w:rsidR="00F8285F" w:rsidRDefault="00F8285F" w:rsidP="005D4729">
      <w:pPr>
        <w:spacing w:after="0"/>
      </w:pPr>
    </w:p>
    <w:p w:rsidR="005D4729" w:rsidRDefault="006B3678" w:rsidP="005D4729">
      <w:pPr>
        <w:spacing w:after="0"/>
      </w:pPr>
      <w:r>
        <w:t>QUESTION V</w:t>
      </w:r>
    </w:p>
    <w:p w:rsidR="0041096F" w:rsidRDefault="005D4729" w:rsidP="005D4729">
      <w:pPr>
        <w:spacing w:after="0"/>
      </w:pPr>
      <w:r>
        <w:t xml:space="preserve">Parmi les tableaux qui ont été présentés et commentés dans le blogue, vous avez sans doute retenu l’un d’entre eux, peint en 1836 par Thomas Cole. Le peintre l’aurait intitulé </w:t>
      </w:r>
      <w:r>
        <w:rPr>
          <w:i/>
        </w:rPr>
        <w:t>« </w:t>
      </w:r>
      <w:proofErr w:type="spellStart"/>
      <w:r>
        <w:rPr>
          <w:i/>
        </w:rPr>
        <w:t>View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Mount Holyoke, Northampton, </w:t>
      </w:r>
      <w:proofErr w:type="spellStart"/>
      <w:r>
        <w:rPr>
          <w:i/>
        </w:rPr>
        <w:t>Massachussets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after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Thunderstorm</w:t>
      </w:r>
      <w:proofErr w:type="spellEnd"/>
      <w:r>
        <w:rPr>
          <w:i/>
        </w:rPr>
        <w:t> » </w:t>
      </w:r>
      <w:r>
        <w:t xml:space="preserve">; mais le public a pris l’habitude de le désigner simplement comme </w:t>
      </w:r>
      <w:r>
        <w:rPr>
          <w:i/>
        </w:rPr>
        <w:t xml:space="preserve">« The </w:t>
      </w:r>
      <w:proofErr w:type="spellStart"/>
      <w:r>
        <w:rPr>
          <w:i/>
        </w:rPr>
        <w:t>Oxbow</w:t>
      </w:r>
      <w:proofErr w:type="spellEnd"/>
      <w:r>
        <w:rPr>
          <w:i/>
        </w:rPr>
        <w:t xml:space="preserve"> ». </w:t>
      </w:r>
      <w:r>
        <w:t>Le même public, à juste titre très probablement, a déchiffré cette toile selon les ter</w:t>
      </w:r>
      <w:r w:rsidR="0041096F">
        <w:t>mes d’un assez lourd symbolisme ; il y a vu une manière d’allégorie de son propre destin dans le « Nouveau Monde ».</w:t>
      </w:r>
    </w:p>
    <w:p w:rsidR="003F71D4" w:rsidRDefault="0041096F" w:rsidP="005D4729">
      <w:pPr>
        <w:spacing w:after="0"/>
      </w:pPr>
      <w:r>
        <w:t xml:space="preserve">Dans le quart inférieur droit de cette huile sur toile est représentée une étendue d’eau. Je ne vous demande pas </w:t>
      </w:r>
      <w:r w:rsidR="003F71D4">
        <w:t xml:space="preserve">quelle figure </w:t>
      </w:r>
      <w:r w:rsidR="003F71D4">
        <w:rPr>
          <w:i/>
        </w:rPr>
        <w:t xml:space="preserve">vous-même </w:t>
      </w:r>
      <w:r w:rsidR="003F71D4">
        <w:t xml:space="preserve">voyez dans la forme de cette étendue, mais quelle figure – en vue de quelle signification – y a </w:t>
      </w:r>
      <w:r w:rsidR="00EC1F21">
        <w:t>peut-être vu le public, d’où le choix qu’il put faire d’un titre de substitution passablement ambivalent</w:t>
      </w:r>
      <w:r w:rsidR="003F71D4">
        <w:t>.</w:t>
      </w:r>
    </w:p>
    <w:p w:rsidR="003F71D4" w:rsidRDefault="003F71D4" w:rsidP="005D4729">
      <w:pPr>
        <w:spacing w:after="0"/>
        <w:rPr>
          <w:i/>
        </w:rPr>
      </w:pPr>
      <w:r>
        <w:t xml:space="preserve">A. Un </w:t>
      </w:r>
      <w:r>
        <w:rPr>
          <w:i/>
        </w:rPr>
        <w:t xml:space="preserve">point d’interrogation </w:t>
      </w:r>
      <w:r>
        <w:t xml:space="preserve">évoquant le sentiment d’incertitude de l’aventureux pionnier lancé </w:t>
      </w:r>
      <w:proofErr w:type="spellStart"/>
      <w:r w:rsidRPr="003F71D4">
        <w:rPr>
          <w:i/>
        </w:rPr>
        <w:t>westward</w:t>
      </w:r>
      <w:proofErr w:type="spellEnd"/>
      <w:r>
        <w:rPr>
          <w:i/>
        </w:rPr>
        <w:t xml:space="preserve"> </w:t>
      </w:r>
      <w:r w:rsidR="001A1980">
        <w:t>à la conquête du</w:t>
      </w:r>
      <w:r>
        <w:t xml:space="preserve"> </w:t>
      </w:r>
      <w:proofErr w:type="spellStart"/>
      <w:r>
        <w:rPr>
          <w:i/>
        </w:rPr>
        <w:t>wilderness</w:t>
      </w:r>
      <w:proofErr w:type="spellEnd"/>
    </w:p>
    <w:p w:rsidR="00053518" w:rsidRDefault="003F71D4" w:rsidP="005D4729">
      <w:pPr>
        <w:spacing w:after="0"/>
      </w:pPr>
      <w:r>
        <w:t xml:space="preserve">B. Un </w:t>
      </w:r>
      <w:r>
        <w:rPr>
          <w:i/>
        </w:rPr>
        <w:t xml:space="preserve">accent circonflexe </w:t>
      </w:r>
      <w:r>
        <w:t>tendant un miroir au haussement des sourcils du peintre saisi d’un étonnement admiratif à la contemplation</w:t>
      </w:r>
      <w:r w:rsidR="00053518">
        <w:t xml:space="preserve"> d’une campagne harmonieusement réglée par le travail des hommes</w:t>
      </w:r>
    </w:p>
    <w:p w:rsidR="00053518" w:rsidRDefault="00053518" w:rsidP="005D4729">
      <w:pPr>
        <w:spacing w:after="0"/>
      </w:pPr>
      <w:r>
        <w:t xml:space="preserve">C. Un </w:t>
      </w:r>
      <w:r w:rsidRPr="00053518">
        <w:rPr>
          <w:i/>
        </w:rPr>
        <w:t>cercle parfait</w:t>
      </w:r>
      <w:r>
        <w:t xml:space="preserve"> symbolisant – faisant écho à celle même de Dieu – l’infinité de la volonté </w:t>
      </w:r>
      <w:r w:rsidR="000951E3">
        <w:t>du « visage pâle »</w:t>
      </w:r>
      <w:r>
        <w:t>, qui peut, dominant la nature, se murmurer qu’il est maître de l’univers comme il l’est de lui-même</w:t>
      </w:r>
    </w:p>
    <w:p w:rsidR="00EC1F21" w:rsidRPr="00155292" w:rsidRDefault="00053518" w:rsidP="005D4729">
      <w:pPr>
        <w:spacing w:after="0"/>
      </w:pPr>
      <w:r w:rsidRPr="00155292">
        <w:t>D.</w:t>
      </w:r>
      <w:r w:rsidR="000951E3" w:rsidRPr="00155292">
        <w:t xml:space="preserve"> Un </w:t>
      </w:r>
      <w:r w:rsidR="000951E3" w:rsidRPr="00155292">
        <w:rPr>
          <w:i/>
        </w:rPr>
        <w:t>joug</w:t>
      </w:r>
      <w:r w:rsidR="00EC1F21" w:rsidRPr="00155292">
        <w:rPr>
          <w:i/>
        </w:rPr>
        <w:t xml:space="preserve"> </w:t>
      </w:r>
      <w:r w:rsidR="00EC1F21" w:rsidRPr="00155292">
        <w:t>manifestant la domination de la nature par les pionniers</w:t>
      </w:r>
    </w:p>
    <w:p w:rsidR="00366FA4" w:rsidRDefault="004E681F" w:rsidP="005D4729">
      <w:pPr>
        <w:spacing w:after="0"/>
      </w:pPr>
      <w:r>
        <w:t xml:space="preserve">E. Indubitablement la partie supérieure d’une </w:t>
      </w:r>
      <w:r w:rsidRPr="00366FA4">
        <w:rPr>
          <w:i/>
        </w:rPr>
        <w:t>croix ansée</w:t>
      </w:r>
      <w:r>
        <w:t>, dite croix du Nil ; les sites en ligne les plus judicieux ont parfaitement démontré que Cole</w:t>
      </w:r>
      <w:r w:rsidR="00366FA4">
        <w:t>, peintre de second ordre certes,</w:t>
      </w:r>
      <w:r>
        <w:t xml:space="preserve"> était l’un des suprêmes maîtres de la redoutable secte des </w:t>
      </w:r>
      <w:proofErr w:type="spellStart"/>
      <w:r>
        <w:t>Illuminati</w:t>
      </w:r>
      <w:proofErr w:type="spellEnd"/>
      <w:r w:rsidR="00366FA4">
        <w:t xml:space="preserve"> – lesdits maîtres arborant l’</w:t>
      </w:r>
      <w:proofErr w:type="spellStart"/>
      <w:r w:rsidR="00366FA4">
        <w:rPr>
          <w:i/>
        </w:rPr>
        <w:t>ânkh</w:t>
      </w:r>
      <w:proofErr w:type="spellEnd"/>
      <w:r w:rsidR="00366FA4">
        <w:rPr>
          <w:i/>
        </w:rPr>
        <w:t xml:space="preserve"> </w:t>
      </w:r>
      <w:r w:rsidR="00366FA4">
        <w:t>nilotique, signe de vie, comme insigne de leur</w:t>
      </w:r>
      <w:r w:rsidR="007A0936">
        <w:t xml:space="preserve"> éminente</w:t>
      </w:r>
      <w:r w:rsidR="00366FA4">
        <w:t xml:space="preserve"> dignité</w:t>
      </w:r>
    </w:p>
    <w:p w:rsidR="000F47B6" w:rsidRPr="00366FA4" w:rsidRDefault="00366FA4" w:rsidP="00304441">
      <w:pPr>
        <w:spacing w:after="0"/>
      </w:pPr>
      <w:r>
        <w:t xml:space="preserve">F. La </w:t>
      </w:r>
      <w:r w:rsidRPr="00366FA4">
        <w:rPr>
          <w:i/>
        </w:rPr>
        <w:t>bonde</w:t>
      </w:r>
      <w:r>
        <w:t xml:space="preserve"> du Nouveau Monde, appelée à se muer en </w:t>
      </w:r>
      <w:r w:rsidR="001A1980">
        <w:t xml:space="preserve">mugissant </w:t>
      </w:r>
      <w:r>
        <w:t>vortex aspirant l’ensemble du continent américain</w:t>
      </w:r>
      <w:r w:rsidR="001A1980">
        <w:t xml:space="preserve"> avec tous ses habitants, à l’exception de deux cœurs purs de l’union desquels naîtrait l’humanité nouvelle</w:t>
      </w:r>
      <w:r>
        <w:t>, selon une vieille croyance indienne</w:t>
      </w:r>
      <w:r w:rsidR="00821D3C">
        <w:t xml:space="preserve"> – curieusement partagée par les Algonquins au nord et les Séminoles au sud –</w:t>
      </w:r>
      <w:r>
        <w:t xml:space="preserve"> reprise à son compte par la petite secte apocalyptique dont </w:t>
      </w:r>
      <w:r w:rsidR="001A1980">
        <w:t xml:space="preserve">le peintre </w:t>
      </w:r>
      <w:r>
        <w:t xml:space="preserve">Cole était l’un des pasteurs, </w:t>
      </w:r>
      <w:r w:rsidR="001A1980">
        <w:t xml:space="preserve">annonçant l’écologie radicale et </w:t>
      </w:r>
      <w:r>
        <w:t>condamnant avec la plus grande sévérité</w:t>
      </w:r>
      <w:r w:rsidR="001A1980">
        <w:t xml:space="preserve"> l’entreprise d’arraisonnement</w:t>
      </w:r>
      <w:r w:rsidR="00821D3C">
        <w:t xml:space="preserve"> total</w:t>
      </w:r>
      <w:r w:rsidR="001A1980">
        <w:t xml:space="preserve"> du monde par ses compatriotes</w:t>
      </w:r>
    </w:p>
    <w:p w:rsidR="000F47B6" w:rsidRDefault="000F47B6" w:rsidP="00304441">
      <w:pPr>
        <w:spacing w:after="0"/>
      </w:pPr>
    </w:p>
    <w:p w:rsidR="00304441" w:rsidRDefault="006B3678" w:rsidP="00304441">
      <w:pPr>
        <w:spacing w:after="0"/>
      </w:pPr>
      <w:r>
        <w:lastRenderedPageBreak/>
        <w:t>QUESTION VI</w:t>
      </w:r>
      <w:r w:rsidR="000F47B6">
        <w:t> :</w:t>
      </w:r>
    </w:p>
    <w:p w:rsidR="00F8285F" w:rsidRDefault="00304441" w:rsidP="00304441">
      <w:pPr>
        <w:spacing w:after="0"/>
      </w:pPr>
      <w:r>
        <w:t>Soit un cours imaginaire, rencontré en l’un de vos cauchemars de ces temps-ci. Vous y lisez cette phrase : « L’idée que, du jeu des passions – et non seulement d’une vertu classique, effective et répandue, par exemple, ou bien des corrections constantes de la seule raison humaine –, puisse éclore un</w:t>
      </w:r>
      <w:r w:rsidR="00F8285F">
        <w:t xml:space="preserve"> ordre social viable et stable[</w:t>
      </w:r>
      <w:r>
        <w:t>moyennant tout au plus la médiation réflexive, minimale au fond, des calculs de la raison</w:t>
      </w:r>
      <w:r w:rsidR="00F8285F">
        <w:t>]</w:t>
      </w:r>
      <w:r>
        <w:t>, en particulier parce qu’il faudrait consentir qu’il est des passions</w:t>
      </w:r>
      <w:r w:rsidR="00F8285F">
        <w:t xml:space="preserve"> dont la vocation peut être d’assurer la contention ou la régulation d’autres passions, plus perturbatrices au fond, n’est pas étrangère à un certain nombre d’auteurs, et peut même former le cœur du montage de certains autres. »</w:t>
      </w:r>
    </w:p>
    <w:p w:rsidR="00F8285F" w:rsidRDefault="00F8285F" w:rsidP="00304441">
      <w:pPr>
        <w:spacing w:after="0"/>
      </w:pPr>
      <w:r>
        <w:t>Dans la liste donnée par ce professeur inconnu, un nom vous semble ne pas convenir :</w:t>
      </w:r>
    </w:p>
    <w:p w:rsidR="00F8285F" w:rsidRDefault="00F8285F" w:rsidP="00304441">
      <w:pPr>
        <w:spacing w:after="0"/>
      </w:pPr>
      <w:r>
        <w:t>A Hobbes</w:t>
      </w:r>
    </w:p>
    <w:p w:rsidR="00F8285F" w:rsidRPr="00155292" w:rsidRDefault="00F8285F" w:rsidP="00304441">
      <w:pPr>
        <w:spacing w:after="0"/>
      </w:pPr>
      <w:r w:rsidRPr="00155292">
        <w:t>B Grotius</w:t>
      </w:r>
    </w:p>
    <w:p w:rsidR="00F8285F" w:rsidRDefault="00F8285F" w:rsidP="00304441">
      <w:pPr>
        <w:spacing w:after="0"/>
      </w:pPr>
      <w:r>
        <w:t>C Certains « économistes » du XVIIIe siècle</w:t>
      </w:r>
    </w:p>
    <w:p w:rsidR="00F8285F" w:rsidRDefault="00F8285F" w:rsidP="00304441">
      <w:pPr>
        <w:spacing w:after="0"/>
      </w:pPr>
      <w:r>
        <w:t>D Saint Augustin</w:t>
      </w:r>
    </w:p>
    <w:p w:rsidR="00F8285F" w:rsidRDefault="00F8285F" w:rsidP="00304441">
      <w:pPr>
        <w:spacing w:after="0"/>
      </w:pPr>
      <w:r>
        <w:t>E Pascal</w:t>
      </w:r>
    </w:p>
    <w:p w:rsidR="000F47B6" w:rsidRDefault="000F47B6" w:rsidP="00304441">
      <w:pPr>
        <w:spacing w:after="0"/>
      </w:pPr>
    </w:p>
    <w:p w:rsidR="000F47B6" w:rsidRDefault="000F47B6" w:rsidP="00304441">
      <w:pPr>
        <w:spacing w:after="0"/>
      </w:pPr>
    </w:p>
    <w:p w:rsidR="00F54917" w:rsidRPr="000F47B6" w:rsidRDefault="00F54917"/>
    <w:sectPr w:rsidR="00F54917" w:rsidRPr="000F47B6" w:rsidSect="00F54917">
      <w:headerReference w:type="even" r:id="rId7"/>
      <w:headerReference w:type="default" r:id="rId8"/>
      <w:type w:val="continuous"/>
      <w:pgSz w:w="11906" w:h="16838"/>
      <w:pgMar w:top="1985" w:right="1418" w:bottom="1134" w:left="1701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4DE">
      <w:pPr>
        <w:spacing w:after="0"/>
      </w:pPr>
      <w:r>
        <w:separator/>
      </w:r>
    </w:p>
  </w:endnote>
  <w:endnote w:type="continuationSeparator" w:id="0">
    <w:p w:rsidR="00000000" w:rsidRDefault="007C1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Hoefler Tex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Baskerville-Regular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eBaskerville-Italic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4DE">
      <w:pPr>
        <w:spacing w:after="0"/>
      </w:pPr>
      <w:r>
        <w:separator/>
      </w:r>
    </w:p>
  </w:footnote>
  <w:footnote w:type="continuationSeparator" w:id="0">
    <w:p w:rsidR="00000000" w:rsidRDefault="007C1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DC" w:rsidRDefault="00094A40" w:rsidP="000F47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D49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49DC" w:rsidRDefault="00ED49DC" w:rsidP="002F78B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DC" w:rsidRDefault="00094A40" w:rsidP="000F47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D4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14D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D49DC" w:rsidRDefault="00ED49DC" w:rsidP="002F78BD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7"/>
    <w:rsid w:val="00053518"/>
    <w:rsid w:val="00065832"/>
    <w:rsid w:val="00094A40"/>
    <w:rsid w:val="000951E3"/>
    <w:rsid w:val="000F47B6"/>
    <w:rsid w:val="00155292"/>
    <w:rsid w:val="001A1980"/>
    <w:rsid w:val="00252970"/>
    <w:rsid w:val="002C651E"/>
    <w:rsid w:val="002F4C9A"/>
    <w:rsid w:val="002F78BD"/>
    <w:rsid w:val="00304441"/>
    <w:rsid w:val="00366FA4"/>
    <w:rsid w:val="003F71D4"/>
    <w:rsid w:val="0041096F"/>
    <w:rsid w:val="004E681F"/>
    <w:rsid w:val="005D4729"/>
    <w:rsid w:val="0060084D"/>
    <w:rsid w:val="006B3678"/>
    <w:rsid w:val="006E374D"/>
    <w:rsid w:val="007A0936"/>
    <w:rsid w:val="007C14DE"/>
    <w:rsid w:val="007D6D4C"/>
    <w:rsid w:val="007E5CA7"/>
    <w:rsid w:val="00821D3C"/>
    <w:rsid w:val="008E7D58"/>
    <w:rsid w:val="00B93463"/>
    <w:rsid w:val="00C05477"/>
    <w:rsid w:val="00C57EB7"/>
    <w:rsid w:val="00DE5A48"/>
    <w:rsid w:val="00E112B4"/>
    <w:rsid w:val="00EC1F21"/>
    <w:rsid w:val="00ED49DC"/>
    <w:rsid w:val="00F31F53"/>
    <w:rsid w:val="00F54917"/>
    <w:rsid w:val="00F8285F"/>
    <w:rsid w:val="00F96638"/>
    <w:rsid w:val="00FB3920"/>
    <w:rsid w:val="00FF1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17"/>
    <w:rPr>
      <w:rFonts w:ascii="Baskerville Old Face" w:hAnsi="Baskerville Old Fac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78BD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F78BD"/>
    <w:rPr>
      <w:rFonts w:ascii="Baskerville Old Face" w:hAnsi="Baskerville Old Face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2F78BD"/>
  </w:style>
  <w:style w:type="paragraph" w:styleId="Textedebulles">
    <w:name w:val="Balloon Text"/>
    <w:basedOn w:val="Normal"/>
    <w:link w:val="TextedebullesCar"/>
    <w:uiPriority w:val="99"/>
    <w:semiHidden/>
    <w:unhideWhenUsed/>
    <w:rsid w:val="007C14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17"/>
    <w:rPr>
      <w:rFonts w:ascii="Baskerville Old Face" w:hAnsi="Baskerville Old Fac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78BD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F78BD"/>
    <w:rPr>
      <w:rFonts w:ascii="Baskerville Old Face" w:hAnsi="Baskerville Old Face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2F78BD"/>
  </w:style>
  <w:style w:type="paragraph" w:styleId="Textedebulles">
    <w:name w:val="Balloon Text"/>
    <w:basedOn w:val="Normal"/>
    <w:link w:val="TextedebullesCar"/>
    <w:uiPriority w:val="99"/>
    <w:semiHidden/>
    <w:unhideWhenUsed/>
    <w:rsid w:val="007C14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conseil</dc:creator>
  <cp:lastModifiedBy>Administrateur</cp:lastModifiedBy>
  <cp:revision>2</cp:revision>
  <cp:lastPrinted>2017-01-05T15:38:00Z</cp:lastPrinted>
  <dcterms:created xsi:type="dcterms:W3CDTF">2017-01-05T15:42:00Z</dcterms:created>
  <dcterms:modified xsi:type="dcterms:W3CDTF">2017-01-05T15:42:00Z</dcterms:modified>
</cp:coreProperties>
</file>