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824B0" w14:textId="77777777" w:rsidR="00B73E3D" w:rsidRDefault="00B73E3D" w:rsidP="00B73E3D">
      <w:pPr>
        <w:widowControl w:val="0"/>
        <w:autoSpaceDE w:val="0"/>
        <w:autoSpaceDN w:val="0"/>
        <w:adjustRightInd w:val="0"/>
        <w:rPr>
          <w:sz w:val="3"/>
          <w:szCs w:val="3"/>
        </w:rPr>
      </w:pPr>
    </w:p>
    <w:p w14:paraId="30446681" w14:textId="77777777" w:rsidR="00B73E3D" w:rsidRDefault="00B73E3D" w:rsidP="00B73E3D">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PARIS - PANTHÉON - ASSAS</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1</w:t>
      </w:r>
    </w:p>
    <w:p w14:paraId="4B1D3249" w14:textId="77777777" w:rsidR="00B73E3D" w:rsidRDefault="00B73E3D" w:rsidP="00B73E3D">
      <w:pPr>
        <w:widowControl w:val="0"/>
        <w:autoSpaceDE w:val="0"/>
        <w:autoSpaceDN w:val="0"/>
        <w:adjustRightInd w:val="0"/>
        <w:rPr>
          <w:rFonts w:ascii="Arial" w:hAnsi="Arial" w:cs="Arial"/>
          <w:b/>
          <w:bCs/>
          <w:color w:val="000000"/>
          <w:sz w:val="20"/>
          <w:szCs w:val="20"/>
        </w:rPr>
      </w:pPr>
    </w:p>
    <w:p w14:paraId="3A1F090A" w14:textId="77777777" w:rsidR="00B73E3D" w:rsidRDefault="00B73E3D" w:rsidP="00B73E3D">
      <w:pPr>
        <w:widowControl w:val="0"/>
        <w:autoSpaceDE w:val="0"/>
        <w:autoSpaceDN w:val="0"/>
        <w:adjustRightInd w:val="0"/>
        <w:rPr>
          <w:rFonts w:ascii="Arial" w:hAnsi="Arial" w:cs="Arial"/>
          <w:b/>
          <w:bCs/>
          <w:color w:val="000000"/>
          <w:sz w:val="8"/>
          <w:szCs w:val="8"/>
        </w:rPr>
      </w:pPr>
    </w:p>
    <w:p w14:paraId="53AA9B66" w14:textId="4717F334" w:rsidR="00B73E3D" w:rsidRDefault="00B73E3D" w:rsidP="00B73E3D">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t>M11441</w:t>
      </w:r>
      <w:r>
        <w:t>AC</w:t>
      </w:r>
    </w:p>
    <w:p w14:paraId="53187EEE" w14:textId="77777777" w:rsidR="00B73E3D" w:rsidRDefault="00B73E3D" w:rsidP="00B73E3D">
      <w:pPr>
        <w:widowControl w:val="0"/>
        <w:autoSpaceDE w:val="0"/>
        <w:autoSpaceDN w:val="0"/>
        <w:adjustRightInd w:val="0"/>
        <w:rPr>
          <w:rFonts w:ascii="Arial" w:hAnsi="Arial" w:cs="Arial"/>
          <w:b/>
          <w:bCs/>
          <w:color w:val="000000"/>
          <w:sz w:val="20"/>
          <w:szCs w:val="20"/>
        </w:rPr>
      </w:pPr>
    </w:p>
    <w:p w14:paraId="6DCA595C" w14:textId="77777777" w:rsidR="00B73E3D" w:rsidRDefault="00B73E3D" w:rsidP="00B73E3D">
      <w:pPr>
        <w:widowControl w:val="0"/>
        <w:autoSpaceDE w:val="0"/>
        <w:autoSpaceDN w:val="0"/>
        <w:adjustRightInd w:val="0"/>
        <w:rPr>
          <w:rFonts w:ascii="Arial" w:hAnsi="Arial" w:cs="Arial"/>
          <w:b/>
          <w:bCs/>
          <w:color w:val="000000"/>
          <w:sz w:val="15"/>
          <w:szCs w:val="15"/>
        </w:rPr>
      </w:pPr>
    </w:p>
    <w:p w14:paraId="06D303A7" w14:textId="77777777" w:rsidR="00B73E3D" w:rsidRDefault="00B73E3D" w:rsidP="00B73E3D">
      <w:pPr>
        <w:widowControl w:val="0"/>
        <w:tabs>
          <w:tab w:val="left" w:pos="62"/>
        </w:tabs>
        <w:autoSpaceDE w:val="0"/>
        <w:autoSpaceDN w:val="0"/>
        <w:adjustRightInd w:val="0"/>
        <w:rPr>
          <w:rFonts w:ascii="Arial" w:hAnsi="Arial" w:cs="Arial"/>
          <w:color w:val="000000"/>
        </w:rPr>
      </w:pPr>
      <w:r>
        <w:tab/>
      </w:r>
      <w:r>
        <w:rPr>
          <w:rFonts w:ascii="Arial" w:hAnsi="Arial" w:cs="Arial"/>
          <w:color w:val="000000"/>
        </w:rPr>
        <w:t>Paris</w:t>
      </w:r>
    </w:p>
    <w:p w14:paraId="683FE06D" w14:textId="77777777" w:rsidR="00B73E3D" w:rsidRDefault="00B73E3D" w:rsidP="00B73E3D">
      <w:pPr>
        <w:widowControl w:val="0"/>
        <w:autoSpaceDE w:val="0"/>
        <w:autoSpaceDN w:val="0"/>
        <w:adjustRightInd w:val="0"/>
        <w:rPr>
          <w:rFonts w:ascii="Arial" w:hAnsi="Arial" w:cs="Arial"/>
          <w:color w:val="000000"/>
          <w:sz w:val="20"/>
          <w:szCs w:val="20"/>
        </w:rPr>
      </w:pPr>
    </w:p>
    <w:p w14:paraId="7591AFBA" w14:textId="77777777" w:rsidR="00B73E3D" w:rsidRDefault="00B73E3D" w:rsidP="00B73E3D">
      <w:pPr>
        <w:widowControl w:val="0"/>
        <w:autoSpaceDE w:val="0"/>
        <w:autoSpaceDN w:val="0"/>
        <w:adjustRightInd w:val="0"/>
        <w:rPr>
          <w:rFonts w:ascii="Arial" w:hAnsi="Arial" w:cs="Arial"/>
          <w:color w:val="000000"/>
          <w:sz w:val="20"/>
          <w:szCs w:val="20"/>
        </w:rPr>
      </w:pPr>
    </w:p>
    <w:p w14:paraId="710F759E" w14:textId="77777777" w:rsidR="00B73E3D" w:rsidRDefault="00B73E3D" w:rsidP="00B73E3D">
      <w:pPr>
        <w:widowControl w:val="0"/>
        <w:autoSpaceDE w:val="0"/>
        <w:autoSpaceDN w:val="0"/>
        <w:adjustRightInd w:val="0"/>
        <w:rPr>
          <w:rFonts w:ascii="Arial" w:hAnsi="Arial" w:cs="Arial"/>
          <w:color w:val="000000"/>
          <w:sz w:val="6"/>
          <w:szCs w:val="6"/>
        </w:rPr>
      </w:pPr>
    </w:p>
    <w:p w14:paraId="792022C2" w14:textId="77777777" w:rsidR="00B73E3D" w:rsidRDefault="00B73E3D" w:rsidP="00B73E3D">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Pr>
          <w:rFonts w:ascii="Arial" w:hAnsi="Arial" w:cs="Arial"/>
          <w:color w:val="000000"/>
        </w:rPr>
        <w:t>JANVIER 2023 – 1</w:t>
      </w:r>
      <w:r w:rsidRPr="00240FA2">
        <w:rPr>
          <w:rFonts w:ascii="Arial" w:hAnsi="Arial" w:cs="Arial"/>
          <w:color w:val="000000"/>
          <w:vertAlign w:val="superscript"/>
        </w:rPr>
        <w:t>er</w:t>
      </w:r>
      <w:r>
        <w:rPr>
          <w:rFonts w:ascii="Arial" w:hAnsi="Arial" w:cs="Arial"/>
          <w:color w:val="000000"/>
        </w:rPr>
        <w:t xml:space="preserve"> semestre</w:t>
      </w:r>
    </w:p>
    <w:p w14:paraId="60E27020" w14:textId="77777777" w:rsidR="00B73E3D" w:rsidRDefault="00B73E3D" w:rsidP="00B73E3D">
      <w:pPr>
        <w:widowControl w:val="0"/>
        <w:autoSpaceDE w:val="0"/>
        <w:autoSpaceDN w:val="0"/>
        <w:adjustRightInd w:val="0"/>
        <w:rPr>
          <w:rFonts w:ascii="Arial" w:hAnsi="Arial" w:cs="Arial"/>
          <w:color w:val="000000"/>
          <w:sz w:val="20"/>
          <w:szCs w:val="20"/>
        </w:rPr>
      </w:pPr>
    </w:p>
    <w:p w14:paraId="69F45B02" w14:textId="77777777" w:rsidR="00B73E3D" w:rsidRDefault="00B73E3D" w:rsidP="00B73E3D">
      <w:pPr>
        <w:widowControl w:val="0"/>
        <w:autoSpaceDE w:val="0"/>
        <w:autoSpaceDN w:val="0"/>
        <w:adjustRightInd w:val="0"/>
        <w:rPr>
          <w:rFonts w:ascii="Arial" w:hAnsi="Arial" w:cs="Arial"/>
          <w:color w:val="000000"/>
          <w:sz w:val="20"/>
          <w:szCs w:val="20"/>
        </w:rPr>
      </w:pPr>
    </w:p>
    <w:p w14:paraId="5E543E55" w14:textId="77777777" w:rsidR="00B73E3D" w:rsidRDefault="00B73E3D" w:rsidP="00B73E3D">
      <w:pPr>
        <w:widowControl w:val="0"/>
        <w:autoSpaceDE w:val="0"/>
        <w:autoSpaceDN w:val="0"/>
        <w:adjustRightInd w:val="0"/>
        <w:rPr>
          <w:rFonts w:ascii="Arial" w:hAnsi="Arial" w:cs="Arial"/>
          <w:color w:val="000000"/>
          <w:sz w:val="10"/>
          <w:szCs w:val="10"/>
        </w:rPr>
      </w:pPr>
    </w:p>
    <w:p w14:paraId="60E81E37" w14:textId="77777777" w:rsidR="00B73E3D" w:rsidRDefault="00B73E3D" w:rsidP="00B73E3D">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t>Master 1</w:t>
      </w:r>
    </w:p>
    <w:p w14:paraId="43DC0DEE" w14:textId="77777777" w:rsidR="00B73E3D" w:rsidRDefault="00B73E3D" w:rsidP="00B73E3D">
      <w:pPr>
        <w:widowControl w:val="0"/>
        <w:autoSpaceDE w:val="0"/>
        <w:autoSpaceDN w:val="0"/>
        <w:adjustRightInd w:val="0"/>
        <w:rPr>
          <w:rFonts w:ascii="Arial" w:hAnsi="Arial" w:cs="Arial"/>
          <w:color w:val="000000"/>
          <w:sz w:val="20"/>
          <w:szCs w:val="20"/>
        </w:rPr>
      </w:pPr>
    </w:p>
    <w:p w14:paraId="6C0F3727" w14:textId="77777777" w:rsidR="00B73E3D" w:rsidRDefault="00B73E3D" w:rsidP="00B73E3D">
      <w:pPr>
        <w:widowControl w:val="0"/>
        <w:autoSpaceDE w:val="0"/>
        <w:autoSpaceDN w:val="0"/>
        <w:adjustRightInd w:val="0"/>
        <w:rPr>
          <w:rFonts w:ascii="Arial" w:hAnsi="Arial" w:cs="Arial"/>
          <w:color w:val="000000"/>
          <w:sz w:val="20"/>
          <w:szCs w:val="20"/>
        </w:rPr>
      </w:pPr>
    </w:p>
    <w:p w14:paraId="1EC3CF40" w14:textId="77777777" w:rsidR="00B73E3D" w:rsidRDefault="00B73E3D" w:rsidP="00B73E3D">
      <w:pPr>
        <w:widowControl w:val="0"/>
        <w:autoSpaceDE w:val="0"/>
        <w:autoSpaceDN w:val="0"/>
        <w:adjustRightInd w:val="0"/>
        <w:rPr>
          <w:rFonts w:ascii="Arial" w:hAnsi="Arial" w:cs="Arial"/>
          <w:color w:val="000000"/>
          <w:sz w:val="12"/>
          <w:szCs w:val="12"/>
        </w:rPr>
      </w:pPr>
    </w:p>
    <w:p w14:paraId="58F29C4C" w14:textId="1268698E" w:rsidR="00B73E3D" w:rsidRDefault="00B73E3D" w:rsidP="00B73E3D">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Pr="00B73E3D">
        <w:t xml:space="preserve">Droit de la propriété intellectuelle </w:t>
      </w:r>
    </w:p>
    <w:p w14:paraId="6E62E57A" w14:textId="77777777" w:rsidR="00B73E3D" w:rsidRDefault="00B73E3D" w:rsidP="00B73E3D">
      <w:pPr>
        <w:widowControl w:val="0"/>
        <w:autoSpaceDE w:val="0"/>
        <w:autoSpaceDN w:val="0"/>
        <w:adjustRightInd w:val="0"/>
        <w:rPr>
          <w:b/>
          <w:bCs/>
          <w:i/>
          <w:iCs/>
          <w:color w:val="000000"/>
          <w:sz w:val="8"/>
          <w:szCs w:val="8"/>
        </w:rPr>
      </w:pPr>
    </w:p>
    <w:p w14:paraId="630A594D" w14:textId="77777777" w:rsidR="00B73E3D" w:rsidRPr="00254799" w:rsidRDefault="00B73E3D" w:rsidP="00B73E3D">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Pr>
          <w:sz w:val="20"/>
          <w:szCs w:val="20"/>
        </w:rPr>
        <w:t>Fondamentaux 1</w:t>
      </w:r>
      <w:r w:rsidRPr="00AB6A7C">
        <w:rPr>
          <w:sz w:val="20"/>
          <w:szCs w:val="20"/>
        </w:rPr>
        <w:t>)</w:t>
      </w:r>
    </w:p>
    <w:p w14:paraId="1F10D30A" w14:textId="77777777" w:rsidR="00B73E3D" w:rsidRDefault="00B73E3D" w:rsidP="00B73E3D">
      <w:pPr>
        <w:widowControl w:val="0"/>
        <w:tabs>
          <w:tab w:val="left" w:pos="2688"/>
        </w:tabs>
        <w:autoSpaceDE w:val="0"/>
        <w:autoSpaceDN w:val="0"/>
        <w:adjustRightInd w:val="0"/>
        <w:rPr>
          <w:rFonts w:ascii="Arial" w:hAnsi="Arial" w:cs="Arial"/>
          <w:color w:val="000000"/>
          <w:sz w:val="16"/>
          <w:szCs w:val="16"/>
        </w:rPr>
      </w:pPr>
    </w:p>
    <w:p w14:paraId="637CE7F8" w14:textId="77777777" w:rsidR="00B73E3D" w:rsidRDefault="00B73E3D" w:rsidP="00B73E3D">
      <w:pPr>
        <w:widowControl w:val="0"/>
        <w:autoSpaceDE w:val="0"/>
        <w:autoSpaceDN w:val="0"/>
        <w:adjustRightInd w:val="0"/>
        <w:rPr>
          <w:rFonts w:ascii="Arial" w:hAnsi="Arial" w:cs="Arial"/>
          <w:color w:val="000000"/>
          <w:sz w:val="20"/>
          <w:szCs w:val="20"/>
        </w:rPr>
      </w:pPr>
    </w:p>
    <w:p w14:paraId="49DBFDEB" w14:textId="77777777" w:rsidR="00B73E3D" w:rsidRDefault="00B73E3D" w:rsidP="00B73E3D">
      <w:pPr>
        <w:widowControl w:val="0"/>
        <w:autoSpaceDE w:val="0"/>
        <w:autoSpaceDN w:val="0"/>
        <w:adjustRightInd w:val="0"/>
        <w:rPr>
          <w:rFonts w:ascii="Arial" w:hAnsi="Arial" w:cs="Arial"/>
          <w:color w:val="000000"/>
          <w:sz w:val="15"/>
          <w:szCs w:val="15"/>
        </w:rPr>
      </w:pPr>
    </w:p>
    <w:p w14:paraId="17A8FEA2" w14:textId="1E0FA5BB" w:rsidR="00B73E3D" w:rsidRDefault="00B73E3D" w:rsidP="00B73E3D">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Pr>
          <w:rFonts w:ascii="Arial" w:hAnsi="Arial" w:cs="Arial"/>
          <w:b/>
          <w:bCs/>
          <w:color w:val="000000"/>
        </w:rPr>
        <w:tab/>
      </w:r>
      <w:r>
        <w:rPr>
          <w:rFonts w:ascii="Arial" w:hAnsi="Arial" w:cs="Arial"/>
          <w:b/>
          <w:bCs/>
          <w:color w:val="000000"/>
        </w:rPr>
        <w:t>jean-Christophe GALLOUX</w:t>
      </w:r>
    </w:p>
    <w:p w14:paraId="493D53A9" w14:textId="77777777" w:rsidR="00B73E3D" w:rsidRDefault="00B73E3D" w:rsidP="00B73E3D">
      <w:pPr>
        <w:widowControl w:val="0"/>
        <w:autoSpaceDE w:val="0"/>
        <w:autoSpaceDN w:val="0"/>
        <w:adjustRightInd w:val="0"/>
        <w:rPr>
          <w:rFonts w:ascii="Arial" w:hAnsi="Arial" w:cs="Arial"/>
          <w:b/>
          <w:bCs/>
          <w:color w:val="000000"/>
          <w:sz w:val="10"/>
          <w:szCs w:val="10"/>
        </w:rPr>
      </w:pPr>
    </w:p>
    <w:p w14:paraId="50BF46D2" w14:textId="77777777" w:rsidR="00B73E3D" w:rsidRDefault="00B73E3D" w:rsidP="00B73E3D">
      <w:pPr>
        <w:widowControl w:val="0"/>
        <w:tabs>
          <w:tab w:val="left" w:pos="2509"/>
        </w:tabs>
        <w:autoSpaceDE w:val="0"/>
        <w:autoSpaceDN w:val="0"/>
        <w:adjustRightInd w:val="0"/>
        <w:rPr>
          <w:rFonts w:ascii="Arial" w:hAnsi="Arial" w:cs="Arial"/>
          <w:color w:val="000000"/>
        </w:rPr>
      </w:pPr>
      <w:r>
        <w:tab/>
      </w:r>
    </w:p>
    <w:p w14:paraId="550CCA9E" w14:textId="77777777" w:rsidR="00B73E3D" w:rsidRDefault="00B73E3D" w:rsidP="00B73E3D">
      <w:pPr>
        <w:widowControl w:val="0"/>
        <w:autoSpaceDE w:val="0"/>
        <w:autoSpaceDN w:val="0"/>
        <w:adjustRightInd w:val="0"/>
        <w:rPr>
          <w:rFonts w:ascii="Arial" w:hAnsi="Arial" w:cs="Arial"/>
          <w:color w:val="000000"/>
          <w:sz w:val="20"/>
          <w:szCs w:val="20"/>
        </w:rPr>
      </w:pPr>
    </w:p>
    <w:p w14:paraId="66C5F18D" w14:textId="77777777" w:rsidR="00B73E3D" w:rsidRPr="00110FE2" w:rsidRDefault="00B73E3D" w:rsidP="00B73E3D">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Pr>
          <w:rFonts w:ascii="Arial" w:hAnsi="Arial" w:cs="Arial"/>
          <w:b/>
        </w:rPr>
        <w:tab/>
        <w:t>3 heures</w:t>
      </w:r>
    </w:p>
    <w:p w14:paraId="52D0AC7A" w14:textId="77777777" w:rsidR="00B73E3D" w:rsidRDefault="00B73E3D" w:rsidP="00B73E3D">
      <w:pPr>
        <w:widowControl w:val="0"/>
        <w:tabs>
          <w:tab w:val="left" w:pos="56"/>
        </w:tabs>
        <w:autoSpaceDE w:val="0"/>
        <w:autoSpaceDN w:val="0"/>
        <w:adjustRightInd w:val="0"/>
      </w:pPr>
    </w:p>
    <w:p w14:paraId="2A75A0A2" w14:textId="77777777" w:rsidR="00B73E3D" w:rsidRDefault="00B73E3D" w:rsidP="00B73E3D">
      <w:pPr>
        <w:widowControl w:val="0"/>
        <w:tabs>
          <w:tab w:val="left" w:pos="56"/>
        </w:tabs>
        <w:autoSpaceDE w:val="0"/>
        <w:autoSpaceDN w:val="0"/>
        <w:adjustRightInd w:val="0"/>
      </w:pPr>
    </w:p>
    <w:p w14:paraId="7DA0384C" w14:textId="50534842" w:rsidR="00B73E3D" w:rsidRPr="00B73E3D" w:rsidRDefault="00B73E3D" w:rsidP="00B73E3D">
      <w:pPr>
        <w:widowControl w:val="0"/>
        <w:tabs>
          <w:tab w:val="left" w:pos="56"/>
        </w:tabs>
        <w:autoSpaceDE w:val="0"/>
        <w:autoSpaceDN w:val="0"/>
        <w:adjustRightInd w:val="0"/>
        <w:rPr>
          <w:rFonts w:cstheme="minorHAnsi"/>
          <w:bCs/>
          <w:color w:val="000000"/>
        </w:rPr>
      </w:pPr>
      <w:r>
        <w:rPr>
          <w:rFonts w:ascii="Arial" w:hAnsi="Arial" w:cs="Arial"/>
          <w:b/>
          <w:bCs/>
          <w:color w:val="000000"/>
        </w:rPr>
        <w:t xml:space="preserve">Document(s) autorisé(s) : </w:t>
      </w:r>
      <w:r w:rsidRPr="00B73E3D">
        <w:rPr>
          <w:rFonts w:cstheme="minorHAnsi"/>
          <w:bCs/>
          <w:color w:val="000000"/>
        </w:rPr>
        <w:t>seul l’usage du code de la propriété intellectuelle est autorisé</w:t>
      </w:r>
    </w:p>
    <w:p w14:paraId="069CA676" w14:textId="77777777" w:rsidR="00B73E3D" w:rsidRDefault="00B73E3D" w:rsidP="00B73E3D"/>
    <w:p w14:paraId="731CB137" w14:textId="77777777" w:rsidR="00B73E3D" w:rsidRDefault="00B73E3D" w:rsidP="00B73E3D">
      <w:pPr>
        <w:pStyle w:val="NormalWeb"/>
        <w:spacing w:before="0" w:beforeAutospacing="0" w:after="0" w:afterAutospacing="0"/>
        <w:jc w:val="both"/>
        <w:rPr>
          <w:rFonts w:ascii="Arial" w:hAnsi="Arial" w:cs="Arial"/>
          <w:i/>
          <w:sz w:val="22"/>
          <w:szCs w:val="22"/>
        </w:rPr>
      </w:pPr>
    </w:p>
    <w:p w14:paraId="35EBD600" w14:textId="77777777" w:rsidR="00B73E3D" w:rsidRDefault="00B73E3D" w:rsidP="00B73E3D">
      <w:pPr>
        <w:pStyle w:val="NormalWeb"/>
        <w:spacing w:before="0" w:beforeAutospacing="0" w:after="0" w:afterAutospacing="0"/>
        <w:jc w:val="both"/>
        <w:rPr>
          <w:rFonts w:ascii="Arial" w:hAnsi="Arial" w:cs="Arial"/>
          <w:i/>
          <w:sz w:val="22"/>
          <w:szCs w:val="22"/>
        </w:rPr>
      </w:pPr>
    </w:p>
    <w:p w14:paraId="2311207D" w14:textId="0E56DBEB" w:rsidR="00B73E3D" w:rsidRDefault="00B73E3D" w:rsidP="00B73E3D">
      <w:pPr>
        <w:pStyle w:val="NormalWeb"/>
        <w:spacing w:before="0" w:beforeAutospacing="0" w:after="0" w:afterAutospacing="0"/>
        <w:jc w:val="both"/>
        <w:rPr>
          <w:b/>
          <w:bCs/>
          <w:color w:val="303030"/>
        </w:rPr>
      </w:pPr>
      <w:r w:rsidRPr="00A44087">
        <w:rPr>
          <w:rFonts w:ascii="Arial" w:hAnsi="Arial" w:cs="Arial"/>
          <w:i/>
          <w:sz w:val="22"/>
          <w:szCs w:val="22"/>
        </w:rPr>
        <w:t xml:space="preserve">Ce sujet comporte </w:t>
      </w:r>
      <w:r>
        <w:rPr>
          <w:rFonts w:ascii="Arial" w:hAnsi="Arial" w:cs="Arial"/>
          <w:i/>
          <w:sz w:val="22"/>
          <w:szCs w:val="22"/>
        </w:rPr>
        <w:t>4</w:t>
      </w:r>
      <w:r w:rsidRPr="00A44087">
        <w:rPr>
          <w:rFonts w:ascii="Arial" w:hAnsi="Arial" w:cs="Arial"/>
          <w:i/>
          <w:sz w:val="22"/>
          <w:szCs w:val="22"/>
        </w:rPr>
        <w:t xml:space="preserve"> pages. Avant de composer, veuillez vérifier que votre sujet est complet</w:t>
      </w:r>
    </w:p>
    <w:p w14:paraId="758AEEB2" w14:textId="47600E2E" w:rsidR="00B73E3D" w:rsidRDefault="00B73E3D" w:rsidP="00B7139F">
      <w:pPr>
        <w:pStyle w:val="NormalWeb"/>
        <w:spacing w:before="0" w:beforeAutospacing="0" w:after="0" w:afterAutospacing="0"/>
        <w:jc w:val="both"/>
        <w:rPr>
          <w:b/>
          <w:bCs/>
          <w:color w:val="303030"/>
        </w:rPr>
      </w:pPr>
    </w:p>
    <w:p w14:paraId="4B0CD29A" w14:textId="45F83A42" w:rsidR="00B73E3D" w:rsidRDefault="00B73E3D" w:rsidP="00B7139F">
      <w:pPr>
        <w:pStyle w:val="NormalWeb"/>
        <w:spacing w:before="0" w:beforeAutospacing="0" w:after="0" w:afterAutospacing="0"/>
        <w:jc w:val="both"/>
        <w:rPr>
          <w:b/>
          <w:bCs/>
          <w:color w:val="303030"/>
        </w:rPr>
      </w:pPr>
    </w:p>
    <w:p w14:paraId="5EDFC76C" w14:textId="77777777" w:rsidR="00B73E3D" w:rsidRDefault="00B73E3D" w:rsidP="00B7139F">
      <w:pPr>
        <w:pStyle w:val="NormalWeb"/>
        <w:spacing w:before="0" w:beforeAutospacing="0" w:after="0" w:afterAutospacing="0"/>
        <w:jc w:val="both"/>
        <w:rPr>
          <w:b/>
          <w:bCs/>
          <w:color w:val="303030"/>
        </w:rPr>
      </w:pPr>
    </w:p>
    <w:p w14:paraId="579AA031" w14:textId="5BE04FBE" w:rsidR="003249EB" w:rsidRPr="003249EB" w:rsidRDefault="003249EB" w:rsidP="00B7139F">
      <w:pPr>
        <w:pStyle w:val="NormalWeb"/>
        <w:spacing w:before="0" w:beforeAutospacing="0" w:after="0" w:afterAutospacing="0"/>
        <w:jc w:val="both"/>
        <w:rPr>
          <w:b/>
          <w:bCs/>
          <w:color w:val="303030"/>
        </w:rPr>
      </w:pPr>
      <w:r w:rsidRPr="003249EB">
        <w:rPr>
          <w:b/>
          <w:bCs/>
          <w:color w:val="303030"/>
        </w:rPr>
        <w:t>VOUS TRAITEREZ AU CHOIX L’UN DES DEUX SUJETS SUIVANTS</w:t>
      </w:r>
    </w:p>
    <w:p w14:paraId="4C94A9F1" w14:textId="77777777" w:rsidR="003249EB" w:rsidRPr="003249EB" w:rsidRDefault="003249EB" w:rsidP="00B7139F">
      <w:pPr>
        <w:pStyle w:val="NormalWeb"/>
        <w:spacing w:before="0" w:beforeAutospacing="0" w:after="0" w:afterAutospacing="0"/>
        <w:jc w:val="both"/>
        <w:rPr>
          <w:b/>
          <w:bCs/>
          <w:color w:val="303030"/>
        </w:rPr>
      </w:pPr>
    </w:p>
    <w:p w14:paraId="3B911D08" w14:textId="7D264840" w:rsidR="00B73E3D" w:rsidRDefault="00B73E3D">
      <w:pPr>
        <w:rPr>
          <w:rFonts w:ascii="Times New Roman" w:eastAsia="Times New Roman" w:hAnsi="Times New Roman" w:cs="Times New Roman"/>
          <w:b/>
          <w:bCs/>
          <w:color w:val="303030"/>
          <w:lang w:eastAsia="fr-FR"/>
        </w:rPr>
      </w:pPr>
      <w:r>
        <w:rPr>
          <w:b/>
          <w:bCs/>
          <w:color w:val="303030"/>
        </w:rPr>
        <w:br w:type="page"/>
      </w:r>
    </w:p>
    <w:p w14:paraId="0EFD16B8" w14:textId="5EFD54F5" w:rsidR="003249EB" w:rsidRPr="003249EB" w:rsidRDefault="003249EB" w:rsidP="00B7139F">
      <w:pPr>
        <w:pStyle w:val="NormalWeb"/>
        <w:spacing w:before="0" w:beforeAutospacing="0" w:after="0" w:afterAutospacing="0"/>
        <w:jc w:val="both"/>
        <w:rPr>
          <w:b/>
          <w:bCs/>
          <w:color w:val="303030"/>
        </w:rPr>
      </w:pPr>
      <w:bookmarkStart w:id="0" w:name="_GoBack"/>
      <w:bookmarkEnd w:id="0"/>
      <w:r w:rsidRPr="003249EB">
        <w:rPr>
          <w:b/>
          <w:bCs/>
          <w:color w:val="303030"/>
        </w:rPr>
        <w:lastRenderedPageBreak/>
        <w:t>1</w:t>
      </w:r>
      <w:r w:rsidRPr="003249EB">
        <w:rPr>
          <w:b/>
          <w:bCs/>
          <w:color w:val="303030"/>
          <w:vertAlign w:val="superscript"/>
        </w:rPr>
        <w:t>er</w:t>
      </w:r>
      <w:r w:rsidRPr="003249EB">
        <w:rPr>
          <w:b/>
          <w:bCs/>
          <w:color w:val="303030"/>
        </w:rPr>
        <w:t xml:space="preserve"> sujet : Commentez l’arrêt suivant :</w:t>
      </w:r>
    </w:p>
    <w:p w14:paraId="4D5EE849" w14:textId="77777777" w:rsidR="003249EB" w:rsidRDefault="003249EB" w:rsidP="00B7139F">
      <w:pPr>
        <w:pStyle w:val="NormalWeb"/>
        <w:spacing w:before="0" w:beforeAutospacing="0" w:after="0" w:afterAutospacing="0"/>
        <w:jc w:val="both"/>
        <w:rPr>
          <w:color w:val="303030"/>
        </w:rPr>
      </w:pPr>
    </w:p>
    <w:p w14:paraId="5547BE8B" w14:textId="4913930C" w:rsidR="00B25F97" w:rsidRDefault="00B25F97" w:rsidP="00B7139F">
      <w:pPr>
        <w:pStyle w:val="NormalWeb"/>
        <w:spacing w:before="0" w:beforeAutospacing="0" w:after="0" w:afterAutospacing="0"/>
        <w:jc w:val="both"/>
        <w:rPr>
          <w:color w:val="303030"/>
        </w:rPr>
      </w:pPr>
      <w:r>
        <w:rPr>
          <w:color w:val="303030"/>
        </w:rPr>
        <w:t>ARRÊT DE LA</w:t>
      </w:r>
      <w:r>
        <w:rPr>
          <w:rStyle w:val="apple-converted-space"/>
          <w:color w:val="303030"/>
        </w:rPr>
        <w:t> </w:t>
      </w:r>
      <w:r>
        <w:rPr>
          <w:b/>
          <w:bCs/>
          <w:color w:val="303030"/>
        </w:rPr>
        <w:t>COUR</w:t>
      </w:r>
      <w:r>
        <w:rPr>
          <w:rStyle w:val="apple-converted-space"/>
          <w:color w:val="303030"/>
        </w:rPr>
        <w:t> </w:t>
      </w:r>
      <w:r>
        <w:rPr>
          <w:color w:val="303030"/>
        </w:rPr>
        <w:t>DE CASSATION, CHAMBRE COMMERCIALE, FINANCIÈRE ET ÉCONOMIQUE, DU 11 MAI 2022</w:t>
      </w:r>
    </w:p>
    <w:p w14:paraId="2755F3A1" w14:textId="77777777" w:rsidR="00B7139F" w:rsidRDefault="00B7139F" w:rsidP="00B7139F">
      <w:pPr>
        <w:pStyle w:val="NormalWeb"/>
        <w:spacing w:before="0" w:beforeAutospacing="0" w:after="0" w:afterAutospacing="0"/>
        <w:jc w:val="both"/>
        <w:rPr>
          <w:color w:val="303030"/>
        </w:rPr>
      </w:pPr>
    </w:p>
    <w:p w14:paraId="3C65BDB4" w14:textId="157E3F7A" w:rsidR="00B25F97" w:rsidRDefault="00B25F97" w:rsidP="00B7139F">
      <w:pPr>
        <w:pStyle w:val="NormalWeb"/>
        <w:spacing w:before="0" w:beforeAutospacing="0" w:after="0" w:afterAutospacing="0"/>
        <w:jc w:val="both"/>
        <w:rPr>
          <w:color w:val="303030"/>
        </w:rPr>
      </w:pPr>
      <w:r>
        <w:rPr>
          <w:color w:val="303030"/>
        </w:rPr>
        <w:t>La</w:t>
      </w:r>
      <w:r>
        <w:rPr>
          <w:rStyle w:val="apple-converted-space"/>
          <w:color w:val="303030"/>
        </w:rPr>
        <w:t> </w:t>
      </w:r>
      <w:hyperlink r:id="rId6" w:history="1">
        <w:r>
          <w:rPr>
            <w:rStyle w:val="Lienhypertexte"/>
            <w:color w:val="1A73E8"/>
          </w:rPr>
          <w:t>société La Redoute</w:t>
        </w:r>
      </w:hyperlink>
      <w:r>
        <w:rPr>
          <w:color w:val="303030"/>
        </w:rPr>
        <w:t>, société par actions simplifiée, dont le siège est [Adresse 1], a formé le pourvoi n° T 19-20.125 contre l’arrêt rendu le 26 février 2019 par la cour d’appel de Paris (pôle 5, chambre 1), dans le litige l’opposant :</w:t>
      </w:r>
    </w:p>
    <w:p w14:paraId="262B68C0" w14:textId="77777777" w:rsidR="00B25F97" w:rsidRDefault="00B25F97" w:rsidP="00B7139F">
      <w:pPr>
        <w:pStyle w:val="NormalWeb"/>
        <w:spacing w:before="0" w:beforeAutospacing="0" w:after="0" w:afterAutospacing="0"/>
        <w:jc w:val="both"/>
        <w:rPr>
          <w:color w:val="303030"/>
        </w:rPr>
      </w:pPr>
      <w:r>
        <w:rPr>
          <w:color w:val="303030"/>
        </w:rPr>
        <w:t>1°/ à M. [K] [R], domicilié [Adresse 2] (Chine),</w:t>
      </w:r>
    </w:p>
    <w:p w14:paraId="6A5E56BA" w14:textId="77777777" w:rsidR="00B25F97" w:rsidRDefault="00B25F97" w:rsidP="00B7139F">
      <w:pPr>
        <w:pStyle w:val="NormalWeb"/>
        <w:spacing w:before="0" w:beforeAutospacing="0" w:after="0" w:afterAutospacing="0"/>
        <w:jc w:val="both"/>
        <w:rPr>
          <w:color w:val="303030"/>
        </w:rPr>
      </w:pPr>
      <w:r>
        <w:rPr>
          <w:color w:val="303030"/>
        </w:rPr>
        <w:t>2°/ à la société Fair Wind Industry Limited, dont le siège est [Adresse 3] (Chine),</w:t>
      </w:r>
    </w:p>
    <w:p w14:paraId="40321AA0" w14:textId="77777777" w:rsidR="00B25F97" w:rsidRDefault="00B25F97" w:rsidP="00B7139F">
      <w:pPr>
        <w:pStyle w:val="NormalWeb"/>
        <w:spacing w:before="0" w:beforeAutospacing="0" w:after="0" w:afterAutospacing="0"/>
        <w:jc w:val="both"/>
        <w:rPr>
          <w:color w:val="303030"/>
        </w:rPr>
      </w:pPr>
      <w:r>
        <w:rPr>
          <w:color w:val="303030"/>
        </w:rPr>
        <w:t>défendeurs à la cassation.</w:t>
      </w:r>
    </w:p>
    <w:p w14:paraId="71E2665F" w14:textId="77777777" w:rsidR="00B7139F" w:rsidRDefault="00B7139F" w:rsidP="00B7139F">
      <w:pPr>
        <w:pStyle w:val="NormalWeb"/>
        <w:spacing w:before="0" w:beforeAutospacing="0" w:after="0" w:afterAutospacing="0"/>
        <w:jc w:val="both"/>
        <w:rPr>
          <w:b/>
          <w:bCs/>
          <w:color w:val="303030"/>
        </w:rPr>
      </w:pPr>
    </w:p>
    <w:p w14:paraId="3B6BF33D" w14:textId="42632DD7" w:rsidR="00B25F97" w:rsidRDefault="00B25F97" w:rsidP="00B7139F">
      <w:pPr>
        <w:pStyle w:val="NormalWeb"/>
        <w:spacing w:before="0" w:beforeAutospacing="0" w:after="0" w:afterAutospacing="0"/>
        <w:jc w:val="both"/>
        <w:rPr>
          <w:color w:val="303030"/>
        </w:rPr>
      </w:pPr>
      <w:r>
        <w:rPr>
          <w:b/>
          <w:bCs/>
          <w:color w:val="303030"/>
        </w:rPr>
        <w:t>Faits</w:t>
      </w:r>
      <w:r>
        <w:rPr>
          <w:rStyle w:val="apple-converted-space"/>
          <w:color w:val="303030"/>
        </w:rPr>
        <w:t> </w:t>
      </w:r>
      <w:r>
        <w:rPr>
          <w:color w:val="303030"/>
        </w:rPr>
        <w:t>et procédure</w:t>
      </w:r>
    </w:p>
    <w:p w14:paraId="375F4A18" w14:textId="77777777" w:rsidR="00B25F97" w:rsidRDefault="00B25F97" w:rsidP="00B7139F">
      <w:pPr>
        <w:pStyle w:val="NormalWeb"/>
        <w:spacing w:before="0" w:beforeAutospacing="0" w:after="0" w:afterAutospacing="0"/>
        <w:jc w:val="both"/>
        <w:rPr>
          <w:color w:val="303030"/>
        </w:rPr>
      </w:pPr>
      <w:r>
        <w:rPr>
          <w:color w:val="303030"/>
        </w:rPr>
        <w:t>1. Selon l’arrêt attaqué (Paris, 26 février 2019), la</w:t>
      </w:r>
      <w:r>
        <w:rPr>
          <w:rStyle w:val="apple-converted-space"/>
          <w:color w:val="303030"/>
        </w:rPr>
        <w:t> </w:t>
      </w:r>
      <w:hyperlink r:id="rId7" w:history="1">
        <w:r>
          <w:rPr>
            <w:rStyle w:val="Lienhypertexte"/>
            <w:color w:val="1A73E8"/>
          </w:rPr>
          <w:t>société La Redoute</w:t>
        </w:r>
      </w:hyperlink>
      <w:r>
        <w:rPr>
          <w:rStyle w:val="apple-converted-space"/>
          <w:color w:val="303030"/>
        </w:rPr>
        <w:t> </w:t>
      </w:r>
      <w:r>
        <w:rPr>
          <w:color w:val="303030"/>
        </w:rPr>
        <w:t>a passé commande à M. [R], et à la société de droit hongkongais Fair Wind Industry Limited (la société Fair Wind), de commandes « test » notamment pour une parka longue matelassée et un ensemble constitué d’une montre et d’un sac, tous destinés à des cadeaux promotionnels.</w:t>
      </w:r>
    </w:p>
    <w:p w14:paraId="5DAA59E0" w14:textId="7BD9AB8F" w:rsidR="00B25F97" w:rsidRDefault="00B25F97" w:rsidP="00B7139F">
      <w:pPr>
        <w:pStyle w:val="NormalWeb"/>
        <w:spacing w:before="0" w:beforeAutospacing="0" w:after="0" w:afterAutospacing="0"/>
        <w:jc w:val="both"/>
        <w:rPr>
          <w:color w:val="303030"/>
        </w:rPr>
      </w:pPr>
      <w:r>
        <w:rPr>
          <w:color w:val="303030"/>
        </w:rPr>
        <w:t>2. M. [R] a déposé, à son nom, auprès de l’Office de l’harmonisation dans le marché intérieur (l’OHMI), devenu l’Office de l’Union européenne pour la propriété intellectuelle (EUIPO), les</w:t>
      </w:r>
      <w:r>
        <w:rPr>
          <w:rStyle w:val="apple-converted-space"/>
          <w:color w:val="303030"/>
        </w:rPr>
        <w:t> </w:t>
      </w:r>
      <w:r>
        <w:rPr>
          <w:rStyle w:val="keywordhighlight"/>
          <w:color w:val="303030"/>
        </w:rPr>
        <w:t>modèles</w:t>
      </w:r>
      <w:r w:rsidR="00B7139F">
        <w:rPr>
          <w:rStyle w:val="keywordhighlight"/>
          <w:color w:val="303030"/>
        </w:rPr>
        <w:t xml:space="preserve"> </w:t>
      </w:r>
      <w:r>
        <w:rPr>
          <w:color w:val="303030"/>
        </w:rPr>
        <w:t>n° 330337 pour la parka matelassée, n° 330238 pour la montre, et n° 330246 pour le sac (faisant ensemble avec la montre).</w:t>
      </w:r>
    </w:p>
    <w:p w14:paraId="6B46DA70" w14:textId="072831E0" w:rsidR="00B25F97" w:rsidRDefault="00B25F97" w:rsidP="00B7139F">
      <w:pPr>
        <w:pStyle w:val="NormalWeb"/>
        <w:spacing w:before="0" w:beforeAutospacing="0" w:after="0" w:afterAutospacing="0"/>
        <w:jc w:val="both"/>
        <w:rPr>
          <w:color w:val="303030"/>
        </w:rPr>
      </w:pPr>
      <w:r>
        <w:rPr>
          <w:color w:val="303030"/>
        </w:rPr>
        <w:t>3. M. [R] et la société Fair Wind ont assigné la</w:t>
      </w:r>
      <w:r>
        <w:rPr>
          <w:rStyle w:val="apple-converted-space"/>
          <w:color w:val="303030"/>
        </w:rPr>
        <w:t> </w:t>
      </w:r>
      <w:hyperlink r:id="rId8" w:history="1">
        <w:r>
          <w:rPr>
            <w:rStyle w:val="Lienhypertexte"/>
            <w:color w:val="1A73E8"/>
          </w:rPr>
          <w:t>société La Redoute</w:t>
        </w:r>
      </w:hyperlink>
      <w:r>
        <w:rPr>
          <w:rStyle w:val="apple-converted-space"/>
          <w:color w:val="303030"/>
        </w:rPr>
        <w:t> </w:t>
      </w:r>
      <w:r>
        <w:rPr>
          <w:color w:val="303030"/>
        </w:rPr>
        <w:t>en contrefaçon de</w:t>
      </w:r>
      <w:r>
        <w:rPr>
          <w:rStyle w:val="apple-converted-space"/>
          <w:color w:val="303030"/>
        </w:rPr>
        <w:t> </w:t>
      </w:r>
      <w:r>
        <w:rPr>
          <w:rStyle w:val="keywordhighlight"/>
          <w:color w:val="303030"/>
        </w:rPr>
        <w:t>modèles</w:t>
      </w:r>
      <w:r w:rsidR="00B7139F">
        <w:rPr>
          <w:rStyle w:val="keywordhighlight"/>
          <w:color w:val="303030"/>
        </w:rPr>
        <w:t xml:space="preserve"> </w:t>
      </w:r>
      <w:r>
        <w:rPr>
          <w:color w:val="303030"/>
        </w:rPr>
        <w:t>communautaires enregistrés et en concurrence déloyale. A titre reconventionnel, la</w:t>
      </w:r>
      <w:r>
        <w:rPr>
          <w:rStyle w:val="apple-converted-space"/>
          <w:color w:val="303030"/>
        </w:rPr>
        <w:t> </w:t>
      </w:r>
      <w:hyperlink r:id="rId9" w:history="1">
        <w:r>
          <w:rPr>
            <w:rStyle w:val="Lienhypertexte"/>
            <w:color w:val="1A73E8"/>
          </w:rPr>
          <w:t>société La Redoute</w:t>
        </w:r>
      </w:hyperlink>
      <w:r w:rsidR="00B7139F">
        <w:rPr>
          <w:rStyle w:val="Lienhypertexte"/>
          <w:color w:val="1A73E8"/>
        </w:rPr>
        <w:t xml:space="preserve"> </w:t>
      </w:r>
      <w:r>
        <w:rPr>
          <w:color w:val="303030"/>
        </w:rPr>
        <w:t>a soulevé la nullité des</w:t>
      </w:r>
      <w:r>
        <w:rPr>
          <w:rStyle w:val="apple-converted-space"/>
          <w:color w:val="303030"/>
        </w:rPr>
        <w:t> </w:t>
      </w:r>
      <w:r>
        <w:rPr>
          <w:rStyle w:val="keywordhighlight"/>
          <w:color w:val="303030"/>
        </w:rPr>
        <w:t>modèles</w:t>
      </w:r>
      <w:r>
        <w:rPr>
          <w:rStyle w:val="apple-converted-space"/>
          <w:color w:val="303030"/>
        </w:rPr>
        <w:t> </w:t>
      </w:r>
      <w:r>
        <w:rPr>
          <w:color w:val="303030"/>
        </w:rPr>
        <w:t>et formé une demande de dommages-intérêts pour déloyauté du fait du dépôt, par M. [R] en son nom, des</w:t>
      </w:r>
      <w:r>
        <w:rPr>
          <w:rStyle w:val="apple-converted-space"/>
          <w:color w:val="303030"/>
        </w:rPr>
        <w:t> </w:t>
      </w:r>
      <w:r>
        <w:rPr>
          <w:rStyle w:val="keywordhighlight"/>
          <w:color w:val="303030"/>
        </w:rPr>
        <w:t>modèles</w:t>
      </w:r>
      <w:r>
        <w:rPr>
          <w:rStyle w:val="apple-converted-space"/>
          <w:color w:val="303030"/>
        </w:rPr>
        <w:t> </w:t>
      </w:r>
      <w:r>
        <w:rPr>
          <w:color w:val="303030"/>
        </w:rPr>
        <w:t>à la création desquels elle soutenait avoir collaboré.</w:t>
      </w:r>
    </w:p>
    <w:p w14:paraId="146814A7" w14:textId="77777777" w:rsidR="00B7139F" w:rsidRDefault="00B7139F" w:rsidP="00B7139F">
      <w:pPr>
        <w:pStyle w:val="NormalWeb"/>
        <w:spacing w:before="0" w:beforeAutospacing="0" w:after="0" w:afterAutospacing="0"/>
        <w:jc w:val="both"/>
        <w:rPr>
          <w:color w:val="303030"/>
        </w:rPr>
      </w:pPr>
    </w:p>
    <w:p w14:paraId="1836E264" w14:textId="277025D5" w:rsidR="00B25F97" w:rsidRDefault="00B25F97" w:rsidP="00B7139F">
      <w:pPr>
        <w:pStyle w:val="NormalWeb"/>
        <w:spacing w:before="0" w:beforeAutospacing="0" w:after="0" w:afterAutospacing="0"/>
        <w:jc w:val="both"/>
        <w:rPr>
          <w:color w:val="303030"/>
        </w:rPr>
      </w:pPr>
      <w:r>
        <w:rPr>
          <w:color w:val="303030"/>
        </w:rPr>
        <w:t>Examen des moyens</w:t>
      </w:r>
    </w:p>
    <w:p w14:paraId="5C3D27D3" w14:textId="77777777" w:rsidR="00B7139F" w:rsidRDefault="00B7139F" w:rsidP="00B7139F">
      <w:pPr>
        <w:pStyle w:val="NormalWeb"/>
        <w:spacing w:before="0" w:beforeAutospacing="0" w:after="0" w:afterAutospacing="0"/>
        <w:jc w:val="both"/>
        <w:rPr>
          <w:b/>
          <w:bCs/>
          <w:color w:val="303030"/>
        </w:rPr>
      </w:pPr>
    </w:p>
    <w:p w14:paraId="0C97D8CB" w14:textId="77ED0DF3" w:rsidR="00B25F97" w:rsidRDefault="00B25F97" w:rsidP="00B7139F">
      <w:pPr>
        <w:pStyle w:val="NormalWeb"/>
        <w:spacing w:before="0" w:beforeAutospacing="0" w:after="0" w:afterAutospacing="0"/>
        <w:jc w:val="both"/>
        <w:rPr>
          <w:color w:val="303030"/>
        </w:rPr>
      </w:pPr>
      <w:r>
        <w:rPr>
          <w:b/>
          <w:bCs/>
          <w:color w:val="303030"/>
        </w:rPr>
        <w:t>Sur</w:t>
      </w:r>
      <w:r>
        <w:rPr>
          <w:rStyle w:val="apple-converted-space"/>
          <w:color w:val="303030"/>
        </w:rPr>
        <w:t> </w:t>
      </w:r>
      <w:r>
        <w:rPr>
          <w:color w:val="303030"/>
        </w:rPr>
        <w:t>le premier moyen et sur le troisième moyen, pris en sa première branche, ci-après annexés</w:t>
      </w:r>
    </w:p>
    <w:p w14:paraId="311ABD87" w14:textId="759A0284" w:rsidR="00B7139F" w:rsidRDefault="00B7139F" w:rsidP="00B7139F">
      <w:pPr>
        <w:pStyle w:val="NormalWeb"/>
        <w:spacing w:before="0" w:beforeAutospacing="0" w:after="0" w:afterAutospacing="0"/>
        <w:jc w:val="both"/>
        <w:rPr>
          <w:color w:val="303030"/>
        </w:rPr>
      </w:pPr>
      <w:r>
        <w:rPr>
          <w:color w:val="303030"/>
        </w:rPr>
        <w:t>(…)</w:t>
      </w:r>
    </w:p>
    <w:p w14:paraId="40C314FA" w14:textId="77777777" w:rsidR="00B7139F" w:rsidRDefault="00B7139F" w:rsidP="00B7139F">
      <w:pPr>
        <w:pStyle w:val="NormalWeb"/>
        <w:spacing w:before="0" w:beforeAutospacing="0" w:after="0" w:afterAutospacing="0"/>
        <w:jc w:val="both"/>
        <w:rPr>
          <w:b/>
          <w:bCs/>
          <w:color w:val="303030"/>
        </w:rPr>
      </w:pPr>
    </w:p>
    <w:p w14:paraId="06B3CFC1" w14:textId="312DAFEE" w:rsidR="00B25F97" w:rsidRDefault="00B25F97" w:rsidP="00B7139F">
      <w:pPr>
        <w:pStyle w:val="NormalWeb"/>
        <w:spacing w:before="0" w:beforeAutospacing="0" w:after="0" w:afterAutospacing="0"/>
        <w:jc w:val="both"/>
        <w:rPr>
          <w:color w:val="303030"/>
        </w:rPr>
      </w:pPr>
      <w:r>
        <w:rPr>
          <w:b/>
          <w:bCs/>
          <w:color w:val="303030"/>
        </w:rPr>
        <w:t>Sur</w:t>
      </w:r>
      <w:r>
        <w:rPr>
          <w:rStyle w:val="apple-converted-space"/>
          <w:color w:val="303030"/>
        </w:rPr>
        <w:t> </w:t>
      </w:r>
      <w:r>
        <w:rPr>
          <w:color w:val="303030"/>
        </w:rPr>
        <w:t>le troisième moyen, pris en sa seconde branche</w:t>
      </w:r>
    </w:p>
    <w:p w14:paraId="3B35C52D" w14:textId="77777777" w:rsidR="00B25F97" w:rsidRDefault="00B25F97" w:rsidP="00B7139F">
      <w:pPr>
        <w:pStyle w:val="NormalWeb"/>
        <w:spacing w:before="0" w:beforeAutospacing="0" w:after="0" w:afterAutospacing="0"/>
        <w:jc w:val="both"/>
        <w:rPr>
          <w:color w:val="303030"/>
        </w:rPr>
      </w:pPr>
      <w:r>
        <w:rPr>
          <w:color w:val="303030"/>
        </w:rPr>
        <w:t>Enoncé du moyen</w:t>
      </w:r>
    </w:p>
    <w:p w14:paraId="18DA33AE" w14:textId="305F8501" w:rsidR="00B25F97" w:rsidRDefault="00B25F97" w:rsidP="00B7139F">
      <w:pPr>
        <w:pStyle w:val="NormalWeb"/>
        <w:spacing w:before="0" w:beforeAutospacing="0" w:after="0" w:afterAutospacing="0"/>
        <w:jc w:val="both"/>
        <w:rPr>
          <w:color w:val="303030"/>
        </w:rPr>
      </w:pPr>
      <w:r>
        <w:rPr>
          <w:color w:val="303030"/>
        </w:rPr>
        <w:t>5. La</w:t>
      </w:r>
      <w:r>
        <w:rPr>
          <w:rStyle w:val="apple-converted-space"/>
          <w:color w:val="303030"/>
        </w:rPr>
        <w:t> </w:t>
      </w:r>
      <w:hyperlink r:id="rId10" w:history="1">
        <w:r>
          <w:rPr>
            <w:rStyle w:val="Lienhypertexte"/>
            <w:color w:val="1A73E8"/>
          </w:rPr>
          <w:t>société La Redoute</w:t>
        </w:r>
      </w:hyperlink>
      <w:r>
        <w:rPr>
          <w:rStyle w:val="apple-converted-space"/>
          <w:color w:val="303030"/>
        </w:rPr>
        <w:t> </w:t>
      </w:r>
      <w:r>
        <w:rPr>
          <w:color w:val="303030"/>
        </w:rPr>
        <w:t>fait grief à l’arrêt de confirmer le jugement ayant dit qu’en commercialisant à titre de cadeau un ensemble constitué d’un sac et d’une montre reproduisant les</w:t>
      </w:r>
      <w:r>
        <w:rPr>
          <w:rStyle w:val="apple-converted-space"/>
          <w:color w:val="303030"/>
        </w:rPr>
        <w:t> </w:t>
      </w:r>
      <w:r>
        <w:rPr>
          <w:rStyle w:val="keywordhighlight"/>
          <w:color w:val="303030"/>
        </w:rPr>
        <w:t>modèles</w:t>
      </w:r>
      <w:r w:rsidR="00B7139F">
        <w:rPr>
          <w:rStyle w:val="keywordhighlight"/>
          <w:color w:val="303030"/>
        </w:rPr>
        <w:t xml:space="preserve"> </w:t>
      </w:r>
      <w:r>
        <w:rPr>
          <w:color w:val="303030"/>
        </w:rPr>
        <w:t>communautaires n° 330246-001 et n° 330238-0001 déposés par M. [R], elle avait commis des actes de contrefaçon et de la condamner à payer à M. [R] et à la société Fair Wind une certaine somme en réparation des actes de contrefaçon commis à leur encontre, alors « que si plusieurs personnes ont réalisé conjointement un</w:t>
      </w:r>
      <w:r>
        <w:rPr>
          <w:rStyle w:val="apple-converted-space"/>
          <w:color w:val="303030"/>
        </w:rPr>
        <w:t> </w:t>
      </w:r>
      <w:r>
        <w:rPr>
          <w:rStyle w:val="keywordhighlight"/>
          <w:color w:val="303030"/>
        </w:rPr>
        <w:t>modèle</w:t>
      </w:r>
      <w:r>
        <w:rPr>
          <w:color w:val="303030"/>
        </w:rPr>
        <w:t>, le droit au</w:t>
      </w:r>
      <w:r>
        <w:rPr>
          <w:rStyle w:val="apple-converted-space"/>
          <w:color w:val="303030"/>
        </w:rPr>
        <w:t> </w:t>
      </w:r>
      <w:r>
        <w:rPr>
          <w:rStyle w:val="keywordhighlight"/>
          <w:color w:val="303030"/>
        </w:rPr>
        <w:t>modèle</w:t>
      </w:r>
      <w:r>
        <w:rPr>
          <w:rStyle w:val="apple-converted-space"/>
          <w:color w:val="303030"/>
        </w:rPr>
        <w:t> </w:t>
      </w:r>
      <w:r>
        <w:rPr>
          <w:color w:val="303030"/>
        </w:rPr>
        <w:t>communautaire leur appartient conjointement ; que la cour d’appel a relevé que des salariés de la</w:t>
      </w:r>
      <w:r>
        <w:rPr>
          <w:rStyle w:val="apple-converted-space"/>
          <w:color w:val="303030"/>
        </w:rPr>
        <w:t> </w:t>
      </w:r>
      <w:hyperlink r:id="rId11" w:history="1">
        <w:r>
          <w:rPr>
            <w:rStyle w:val="Lienhypertexte"/>
            <w:color w:val="1A73E8"/>
          </w:rPr>
          <w:t>société La Redoute</w:t>
        </w:r>
      </w:hyperlink>
      <w:r>
        <w:rPr>
          <w:rStyle w:val="apple-converted-space"/>
          <w:color w:val="303030"/>
        </w:rPr>
        <w:t> </w:t>
      </w:r>
      <w:r>
        <w:rPr>
          <w:color w:val="303030"/>
        </w:rPr>
        <w:t>étaient intervenus pour demander une modification des</w:t>
      </w:r>
      <w:r>
        <w:rPr>
          <w:rStyle w:val="apple-converted-space"/>
          <w:color w:val="303030"/>
        </w:rPr>
        <w:t> </w:t>
      </w:r>
      <w:r>
        <w:rPr>
          <w:rStyle w:val="keywordhighlight"/>
          <w:color w:val="303030"/>
        </w:rPr>
        <w:t>modèles</w:t>
      </w:r>
      <w:r>
        <w:rPr>
          <w:rStyle w:val="apple-converted-space"/>
          <w:color w:val="303030"/>
        </w:rPr>
        <w:t> </w:t>
      </w:r>
      <w:r>
        <w:rPr>
          <w:color w:val="303030"/>
        </w:rPr>
        <w:t>du « set Ardar », en formulant des directives ; qu’en refusant pourtant, malgré ce concours créatif des salariés de la</w:t>
      </w:r>
      <w:r>
        <w:rPr>
          <w:rStyle w:val="apple-converted-space"/>
          <w:color w:val="303030"/>
        </w:rPr>
        <w:t> </w:t>
      </w:r>
      <w:hyperlink r:id="rId12" w:history="1">
        <w:r>
          <w:rPr>
            <w:rStyle w:val="Lienhypertexte"/>
            <w:color w:val="1A73E8"/>
          </w:rPr>
          <w:t>société La Redoute</w:t>
        </w:r>
      </w:hyperlink>
      <w:r>
        <w:rPr>
          <w:color w:val="303030"/>
        </w:rPr>
        <w:t>, la qualité de co-créateur à cette société, lui conférant un droit sur le</w:t>
      </w:r>
      <w:r>
        <w:rPr>
          <w:rStyle w:val="apple-converted-space"/>
          <w:color w:val="303030"/>
        </w:rPr>
        <w:t> </w:t>
      </w:r>
      <w:r>
        <w:rPr>
          <w:rStyle w:val="keywordhighlight"/>
          <w:color w:val="303030"/>
        </w:rPr>
        <w:t>modèle</w:t>
      </w:r>
      <w:r>
        <w:rPr>
          <w:color w:val="303030"/>
        </w:rPr>
        <w:t>, la cour d’appel a violé l’article 14 du règlement n° 06/2002 du 12 décembre 2001 sur les</w:t>
      </w:r>
      <w:r>
        <w:rPr>
          <w:rStyle w:val="apple-converted-space"/>
          <w:color w:val="303030"/>
        </w:rPr>
        <w:t> </w:t>
      </w:r>
      <w:r>
        <w:rPr>
          <w:rStyle w:val="keywordhighlight"/>
          <w:color w:val="303030"/>
        </w:rPr>
        <w:t>dessins</w:t>
      </w:r>
      <w:r>
        <w:rPr>
          <w:rStyle w:val="apple-converted-space"/>
          <w:color w:val="303030"/>
        </w:rPr>
        <w:t> </w:t>
      </w:r>
      <w:r>
        <w:rPr>
          <w:color w:val="303030"/>
        </w:rPr>
        <w:t>ou</w:t>
      </w:r>
      <w:r>
        <w:rPr>
          <w:rStyle w:val="apple-converted-space"/>
          <w:color w:val="303030"/>
        </w:rPr>
        <w:t> </w:t>
      </w:r>
      <w:r>
        <w:rPr>
          <w:rStyle w:val="keywordhighlight"/>
          <w:color w:val="303030"/>
        </w:rPr>
        <w:t>modèles</w:t>
      </w:r>
      <w:r>
        <w:rPr>
          <w:rStyle w:val="apple-converted-space"/>
          <w:color w:val="303030"/>
        </w:rPr>
        <w:t> </w:t>
      </w:r>
      <w:r>
        <w:rPr>
          <w:color w:val="303030"/>
        </w:rPr>
        <w:t>communautaires. »</w:t>
      </w:r>
    </w:p>
    <w:p w14:paraId="05FD5602" w14:textId="77777777" w:rsidR="00B25F97" w:rsidRDefault="00B25F97" w:rsidP="00B7139F">
      <w:pPr>
        <w:pStyle w:val="NormalWeb"/>
        <w:spacing w:before="0" w:beforeAutospacing="0" w:after="0" w:afterAutospacing="0"/>
        <w:jc w:val="both"/>
        <w:rPr>
          <w:color w:val="303030"/>
        </w:rPr>
      </w:pPr>
      <w:r>
        <w:rPr>
          <w:color w:val="303030"/>
        </w:rPr>
        <w:t>Réponse de la Cour</w:t>
      </w:r>
    </w:p>
    <w:p w14:paraId="62D93C41" w14:textId="77777777" w:rsidR="00B25F97" w:rsidRDefault="00B25F97" w:rsidP="00B7139F">
      <w:pPr>
        <w:pStyle w:val="NormalWeb"/>
        <w:spacing w:before="0" w:beforeAutospacing="0" w:after="0" w:afterAutospacing="0"/>
        <w:jc w:val="both"/>
        <w:rPr>
          <w:color w:val="303030"/>
        </w:rPr>
      </w:pPr>
      <w:r>
        <w:rPr>
          <w:color w:val="303030"/>
        </w:rPr>
        <w:t>6. La Cour de justice de l’Union européenne ayant dit pour droit que « l’article 14, paragraphe 3, du règlement (CE) n° 6/2002 du Conseil, du 12 décembre 2001, sur les</w:t>
      </w:r>
      <w:r>
        <w:rPr>
          <w:rStyle w:val="apple-converted-space"/>
          <w:color w:val="303030"/>
        </w:rPr>
        <w:t> </w:t>
      </w:r>
      <w:r>
        <w:rPr>
          <w:rStyle w:val="keywordhighlight"/>
          <w:color w:val="303030"/>
        </w:rPr>
        <w:t>dessins</w:t>
      </w:r>
      <w:r>
        <w:rPr>
          <w:rStyle w:val="apple-converted-space"/>
          <w:color w:val="303030"/>
        </w:rPr>
        <w:t> </w:t>
      </w:r>
      <w:r>
        <w:rPr>
          <w:color w:val="303030"/>
        </w:rPr>
        <w:t>ou</w:t>
      </w:r>
      <w:r>
        <w:rPr>
          <w:rStyle w:val="apple-converted-space"/>
          <w:color w:val="303030"/>
        </w:rPr>
        <w:t> </w:t>
      </w:r>
      <w:r>
        <w:rPr>
          <w:rStyle w:val="keywordhighlight"/>
          <w:color w:val="303030"/>
        </w:rPr>
        <w:t>modèles</w:t>
      </w:r>
      <w:r>
        <w:rPr>
          <w:rStyle w:val="apple-converted-space"/>
          <w:color w:val="303030"/>
        </w:rPr>
        <w:t> </w:t>
      </w:r>
      <w:r>
        <w:rPr>
          <w:color w:val="303030"/>
        </w:rPr>
        <w:t xml:space="preserve">communautaires, ne s’applique pas </w:t>
      </w:r>
      <w:r>
        <w:rPr>
          <w:color w:val="303030"/>
        </w:rPr>
        <w:lastRenderedPageBreak/>
        <w:t>au</w:t>
      </w:r>
      <w:r>
        <w:rPr>
          <w:rStyle w:val="apple-converted-space"/>
          <w:color w:val="303030"/>
        </w:rPr>
        <w:t> </w:t>
      </w:r>
      <w:r>
        <w:rPr>
          <w:rStyle w:val="keywordhighlight"/>
          <w:color w:val="303030"/>
        </w:rPr>
        <w:t>dessin</w:t>
      </w:r>
      <w:r>
        <w:rPr>
          <w:rStyle w:val="apple-converted-space"/>
          <w:color w:val="303030"/>
        </w:rPr>
        <w:t> </w:t>
      </w:r>
      <w:r>
        <w:rPr>
          <w:color w:val="303030"/>
        </w:rPr>
        <w:t>ou</w:t>
      </w:r>
      <w:r>
        <w:rPr>
          <w:rStyle w:val="apple-converted-space"/>
          <w:color w:val="303030"/>
        </w:rPr>
        <w:t> </w:t>
      </w:r>
      <w:r>
        <w:rPr>
          <w:rStyle w:val="keywordhighlight"/>
          <w:color w:val="303030"/>
        </w:rPr>
        <w:t>modèle</w:t>
      </w:r>
      <w:r>
        <w:rPr>
          <w:rStyle w:val="apple-converted-space"/>
          <w:color w:val="303030"/>
        </w:rPr>
        <w:t> </w:t>
      </w:r>
      <w:r>
        <w:rPr>
          <w:color w:val="303030"/>
        </w:rPr>
        <w:t>communautaire réalisé sur commande » (CJUE, arrêt du 2 juillet 2009, FEIA, C-32/08), il n’y a pas lieu de la saisir de la question préjudicielle soulevée par le moyen.</w:t>
      </w:r>
    </w:p>
    <w:p w14:paraId="42E965ED" w14:textId="77777777" w:rsidR="00B25F97" w:rsidRDefault="00B25F97" w:rsidP="00B7139F">
      <w:pPr>
        <w:pStyle w:val="NormalWeb"/>
        <w:spacing w:before="0" w:beforeAutospacing="0" w:after="0" w:afterAutospacing="0"/>
        <w:jc w:val="both"/>
        <w:rPr>
          <w:color w:val="303030"/>
        </w:rPr>
      </w:pPr>
      <w:r>
        <w:rPr>
          <w:color w:val="303030"/>
        </w:rPr>
        <w:t>7. Ayant retenu que si la</w:t>
      </w:r>
      <w:r>
        <w:rPr>
          <w:rStyle w:val="apple-converted-space"/>
          <w:color w:val="303030"/>
        </w:rPr>
        <w:t> </w:t>
      </w:r>
      <w:hyperlink r:id="rId13" w:history="1">
        <w:r>
          <w:rPr>
            <w:rStyle w:val="Lienhypertexte"/>
            <w:color w:val="1A73E8"/>
          </w:rPr>
          <w:t>société La Redoute</w:t>
        </w:r>
      </w:hyperlink>
      <w:r>
        <w:rPr>
          <w:rStyle w:val="apple-converted-space"/>
          <w:color w:val="303030"/>
        </w:rPr>
        <w:t> </w:t>
      </w:r>
      <w:r>
        <w:rPr>
          <w:color w:val="303030"/>
        </w:rPr>
        <w:t>avait demandé la présence d’une pochette ou deux sur le</w:t>
      </w:r>
      <w:r>
        <w:rPr>
          <w:rStyle w:val="apple-converted-space"/>
          <w:color w:val="303030"/>
        </w:rPr>
        <w:t> </w:t>
      </w:r>
      <w:r>
        <w:rPr>
          <w:rStyle w:val="keywordhighlight"/>
          <w:color w:val="303030"/>
        </w:rPr>
        <w:t>modèle</w:t>
      </w:r>
      <w:r>
        <w:rPr>
          <w:rStyle w:val="apple-converted-space"/>
          <w:color w:val="303030"/>
        </w:rPr>
        <w:t> </w:t>
      </w:r>
      <w:r>
        <w:rPr>
          <w:color w:val="303030"/>
        </w:rPr>
        <w:t>de sac qui lui avait été proposé, seuls M. [R] et la société Fair Wind avaient proposé et créé les</w:t>
      </w:r>
      <w:r>
        <w:rPr>
          <w:rStyle w:val="apple-converted-space"/>
          <w:color w:val="303030"/>
        </w:rPr>
        <w:t> </w:t>
      </w:r>
      <w:r>
        <w:rPr>
          <w:rStyle w:val="keywordhighlight"/>
          <w:color w:val="303030"/>
        </w:rPr>
        <w:t>modèles</w:t>
      </w:r>
      <w:r>
        <w:rPr>
          <w:color w:val="303030"/>
        </w:rPr>
        <w:t>, la</w:t>
      </w:r>
      <w:r>
        <w:rPr>
          <w:rStyle w:val="apple-converted-space"/>
          <w:color w:val="303030"/>
        </w:rPr>
        <w:t> </w:t>
      </w:r>
      <w:hyperlink r:id="rId14" w:history="1">
        <w:r>
          <w:rPr>
            <w:rStyle w:val="Lienhypertexte"/>
            <w:color w:val="1A73E8"/>
          </w:rPr>
          <w:t>société La Redoute</w:t>
        </w:r>
      </w:hyperlink>
      <w:r>
        <w:rPr>
          <w:rStyle w:val="apple-converted-space"/>
          <w:color w:val="303030"/>
        </w:rPr>
        <w:t> </w:t>
      </w:r>
      <w:r>
        <w:rPr>
          <w:color w:val="303030"/>
        </w:rPr>
        <w:t>se contentant, en phase finale, de choisir entre eux, c’est à bon droit que, faisant application de cette jurisprudence, la cour d’appel en a déduit que cette société n’avait pas la qualité de coauteur du</w:t>
      </w:r>
      <w:r>
        <w:rPr>
          <w:rStyle w:val="apple-converted-space"/>
          <w:color w:val="303030"/>
        </w:rPr>
        <w:t> </w:t>
      </w:r>
      <w:r>
        <w:rPr>
          <w:rStyle w:val="keywordhighlight"/>
          <w:color w:val="303030"/>
        </w:rPr>
        <w:t>modèle</w:t>
      </w:r>
      <w:r>
        <w:rPr>
          <w:rStyle w:val="apple-converted-space"/>
          <w:color w:val="303030"/>
        </w:rPr>
        <w:t> </w:t>
      </w:r>
      <w:r>
        <w:rPr>
          <w:color w:val="303030"/>
        </w:rPr>
        <w:t>qu’elle avait commandé.</w:t>
      </w:r>
    </w:p>
    <w:p w14:paraId="0EF8068C" w14:textId="77777777" w:rsidR="00B25F97" w:rsidRDefault="00B25F97" w:rsidP="00B7139F">
      <w:pPr>
        <w:pStyle w:val="NormalWeb"/>
        <w:spacing w:before="0" w:beforeAutospacing="0" w:after="0" w:afterAutospacing="0"/>
        <w:jc w:val="both"/>
        <w:rPr>
          <w:color w:val="303030"/>
        </w:rPr>
      </w:pPr>
      <w:r>
        <w:rPr>
          <w:color w:val="303030"/>
        </w:rPr>
        <w:t>8. Le moyen n’est donc pas fondé.</w:t>
      </w:r>
    </w:p>
    <w:p w14:paraId="4021DEB8" w14:textId="77777777" w:rsidR="00B7139F" w:rsidRDefault="00B7139F" w:rsidP="00B7139F">
      <w:pPr>
        <w:pStyle w:val="NormalWeb"/>
        <w:spacing w:before="0" w:beforeAutospacing="0" w:after="0" w:afterAutospacing="0"/>
        <w:jc w:val="both"/>
        <w:rPr>
          <w:b/>
          <w:bCs/>
          <w:color w:val="303030"/>
        </w:rPr>
      </w:pPr>
    </w:p>
    <w:p w14:paraId="5C1FED58" w14:textId="17089AA8" w:rsidR="00B25F97" w:rsidRDefault="00B25F97" w:rsidP="00B7139F">
      <w:pPr>
        <w:pStyle w:val="NormalWeb"/>
        <w:spacing w:before="0" w:beforeAutospacing="0" w:after="0" w:afterAutospacing="0"/>
        <w:jc w:val="both"/>
        <w:rPr>
          <w:color w:val="303030"/>
        </w:rPr>
      </w:pPr>
      <w:r>
        <w:rPr>
          <w:b/>
          <w:bCs/>
          <w:color w:val="303030"/>
        </w:rPr>
        <w:t>Et</w:t>
      </w:r>
      <w:r>
        <w:rPr>
          <w:rStyle w:val="apple-converted-space"/>
          <w:color w:val="303030"/>
        </w:rPr>
        <w:t> </w:t>
      </w:r>
      <w:r>
        <w:rPr>
          <w:color w:val="303030"/>
        </w:rPr>
        <w:t>sur le quatrième moyen</w:t>
      </w:r>
    </w:p>
    <w:p w14:paraId="1637DE00" w14:textId="17FF90D0" w:rsidR="00B7139F" w:rsidRDefault="00B7139F" w:rsidP="00B7139F">
      <w:pPr>
        <w:pStyle w:val="NormalWeb"/>
        <w:spacing w:before="0" w:beforeAutospacing="0" w:after="0" w:afterAutospacing="0"/>
        <w:jc w:val="both"/>
        <w:rPr>
          <w:b/>
          <w:bCs/>
          <w:color w:val="303030"/>
        </w:rPr>
      </w:pPr>
      <w:r>
        <w:rPr>
          <w:b/>
          <w:bCs/>
          <w:color w:val="303030"/>
        </w:rPr>
        <w:t>(…)</w:t>
      </w:r>
    </w:p>
    <w:p w14:paraId="78A03B1E" w14:textId="77777777" w:rsidR="00B7139F" w:rsidRDefault="00B7139F" w:rsidP="00B7139F">
      <w:pPr>
        <w:pStyle w:val="NormalWeb"/>
        <w:spacing w:before="0" w:beforeAutospacing="0" w:after="0" w:afterAutospacing="0"/>
        <w:jc w:val="both"/>
        <w:rPr>
          <w:b/>
          <w:bCs/>
          <w:color w:val="303030"/>
        </w:rPr>
      </w:pPr>
    </w:p>
    <w:p w14:paraId="57CB6C62" w14:textId="6E6A21D1" w:rsidR="00B25F97" w:rsidRDefault="00B25F97" w:rsidP="00B7139F">
      <w:pPr>
        <w:pStyle w:val="NormalWeb"/>
        <w:spacing w:before="0" w:beforeAutospacing="0" w:after="0" w:afterAutospacing="0"/>
        <w:jc w:val="both"/>
        <w:rPr>
          <w:color w:val="303030"/>
        </w:rPr>
      </w:pPr>
      <w:r>
        <w:rPr>
          <w:b/>
          <w:bCs/>
          <w:color w:val="303030"/>
        </w:rPr>
        <w:t>Mais</w:t>
      </w:r>
      <w:r>
        <w:rPr>
          <w:rStyle w:val="apple-converted-space"/>
          <w:color w:val="303030"/>
        </w:rPr>
        <w:t> </w:t>
      </w:r>
      <w:r>
        <w:rPr>
          <w:color w:val="303030"/>
        </w:rPr>
        <w:t>sur le deuxième moyen</w:t>
      </w:r>
    </w:p>
    <w:p w14:paraId="3209CFB5" w14:textId="77777777" w:rsidR="00B25F97" w:rsidRDefault="00B25F97" w:rsidP="00B7139F">
      <w:pPr>
        <w:pStyle w:val="NormalWeb"/>
        <w:spacing w:before="0" w:beforeAutospacing="0" w:after="0" w:afterAutospacing="0"/>
        <w:jc w:val="both"/>
        <w:rPr>
          <w:color w:val="303030"/>
        </w:rPr>
      </w:pPr>
      <w:r>
        <w:rPr>
          <w:color w:val="303030"/>
        </w:rPr>
        <w:t>Enoncé du moyen</w:t>
      </w:r>
    </w:p>
    <w:p w14:paraId="3D722001" w14:textId="77777777" w:rsidR="00B25F97" w:rsidRDefault="00B25F97" w:rsidP="00B7139F">
      <w:pPr>
        <w:pStyle w:val="NormalWeb"/>
        <w:spacing w:before="0" w:beforeAutospacing="0" w:after="0" w:afterAutospacing="0"/>
        <w:jc w:val="both"/>
        <w:rPr>
          <w:color w:val="303030"/>
        </w:rPr>
      </w:pPr>
      <w:r>
        <w:rPr>
          <w:color w:val="303030"/>
        </w:rPr>
        <w:t>11. La</w:t>
      </w:r>
      <w:r>
        <w:rPr>
          <w:rStyle w:val="apple-converted-space"/>
          <w:color w:val="303030"/>
        </w:rPr>
        <w:t> </w:t>
      </w:r>
      <w:hyperlink r:id="rId15" w:history="1">
        <w:r>
          <w:rPr>
            <w:rStyle w:val="Lienhypertexte"/>
            <w:color w:val="1A73E8"/>
          </w:rPr>
          <w:t>société La Redoute</w:t>
        </w:r>
      </w:hyperlink>
      <w:r>
        <w:rPr>
          <w:rStyle w:val="apple-converted-space"/>
          <w:color w:val="303030"/>
        </w:rPr>
        <w:t> </w:t>
      </w:r>
      <w:r>
        <w:rPr>
          <w:color w:val="303030"/>
        </w:rPr>
        <w:t>fait grief à l’arrêt de la débouter de sa demande d’annulation du</w:t>
      </w:r>
      <w:r>
        <w:rPr>
          <w:rStyle w:val="apple-converted-space"/>
          <w:color w:val="303030"/>
        </w:rPr>
        <w:t> </w:t>
      </w:r>
      <w:r>
        <w:rPr>
          <w:rStyle w:val="keywordhighlight"/>
          <w:color w:val="303030"/>
        </w:rPr>
        <w:t>modèle</w:t>
      </w:r>
      <w:r>
        <w:rPr>
          <w:color w:val="303030"/>
        </w:rPr>
        <w:t>n° 330337-0001 (représentant une veste parka), de dire qu’en commercialisant à titre de cadeau ce</w:t>
      </w:r>
      <w:r>
        <w:rPr>
          <w:rStyle w:val="apple-converted-space"/>
          <w:color w:val="303030"/>
        </w:rPr>
        <w:t> </w:t>
      </w:r>
      <w:r>
        <w:rPr>
          <w:rStyle w:val="keywordhighlight"/>
          <w:color w:val="303030"/>
        </w:rPr>
        <w:t>modèle</w:t>
      </w:r>
      <w:r>
        <w:rPr>
          <w:color w:val="303030"/>
        </w:rPr>
        <w:t>, elle a commis des actes de contrefaçon au préjudice de M. [R] et de la société Fair Wind et de la condamner à leur payer une certaine somme en réparation de ces actes, alors « qu’un</w:t>
      </w:r>
      <w:r>
        <w:rPr>
          <w:rStyle w:val="apple-converted-space"/>
          <w:color w:val="303030"/>
        </w:rPr>
        <w:t> </w:t>
      </w:r>
      <w:r>
        <w:rPr>
          <w:rStyle w:val="keywordhighlight"/>
          <w:color w:val="303030"/>
        </w:rPr>
        <w:t>modèle</w:t>
      </w:r>
      <w:r>
        <w:rPr>
          <w:rStyle w:val="apple-converted-space"/>
          <w:color w:val="303030"/>
        </w:rPr>
        <w:t> </w:t>
      </w:r>
      <w:r>
        <w:rPr>
          <w:color w:val="303030"/>
        </w:rPr>
        <w:t>est nul si l’impression globale qu’il produit sur l’utilisateur averti ne diffère pas de celle que produit sur un tel utilisateur tout</w:t>
      </w:r>
      <w:r>
        <w:rPr>
          <w:rStyle w:val="apple-converted-space"/>
          <w:color w:val="303030"/>
        </w:rPr>
        <w:t> </w:t>
      </w:r>
      <w:r>
        <w:rPr>
          <w:rStyle w:val="keywordhighlight"/>
          <w:color w:val="303030"/>
        </w:rPr>
        <w:t>modèle</w:t>
      </w:r>
      <w:r>
        <w:rPr>
          <w:rStyle w:val="apple-converted-space"/>
          <w:color w:val="303030"/>
        </w:rPr>
        <w:t> </w:t>
      </w:r>
      <w:r>
        <w:rPr>
          <w:color w:val="303030"/>
        </w:rPr>
        <w:t>qui a été divulgué au public ; que pour cette appréciation, il est tenu compte du degré de liberté du créateur dans l’élaboration du</w:t>
      </w:r>
      <w:r>
        <w:rPr>
          <w:rStyle w:val="apple-converted-space"/>
          <w:color w:val="303030"/>
        </w:rPr>
        <w:t> </w:t>
      </w:r>
      <w:r>
        <w:rPr>
          <w:rStyle w:val="keywordhighlight"/>
          <w:color w:val="303030"/>
        </w:rPr>
        <w:t>modèle</w:t>
      </w:r>
      <w:r>
        <w:rPr>
          <w:color w:val="303030"/>
        </w:rPr>
        <w:t> ; qu’en se bornant à s’attacher aux différences entre les</w:t>
      </w:r>
      <w:r>
        <w:rPr>
          <w:rStyle w:val="apple-converted-space"/>
          <w:color w:val="303030"/>
        </w:rPr>
        <w:t> </w:t>
      </w:r>
      <w:r>
        <w:rPr>
          <w:rStyle w:val="keywordhighlight"/>
          <w:color w:val="303030"/>
        </w:rPr>
        <w:t>modèles</w:t>
      </w:r>
      <w:r>
        <w:rPr>
          <w:rStyle w:val="apple-converted-space"/>
          <w:color w:val="303030"/>
        </w:rPr>
        <w:t> </w:t>
      </w:r>
      <w:r>
        <w:rPr>
          <w:color w:val="303030"/>
        </w:rPr>
        <w:t>comparés et à énoncer que l’ensemble de ces différences n’échapperait pas à l’utilisatrice avertie, au lieu de se fonder sur l’impression globale produite par les deux</w:t>
      </w:r>
      <w:r>
        <w:rPr>
          <w:rStyle w:val="apple-converted-space"/>
          <w:color w:val="303030"/>
        </w:rPr>
        <w:t> </w:t>
      </w:r>
      <w:r>
        <w:rPr>
          <w:rStyle w:val="keywordhighlight"/>
          <w:color w:val="303030"/>
        </w:rPr>
        <w:t>modèles</w:t>
      </w:r>
      <w:r>
        <w:rPr>
          <w:color w:val="303030"/>
        </w:rPr>
        <w:t>, en prenant en compte le degré de liberté du créateur dans l’élaboration du</w:t>
      </w:r>
      <w:r>
        <w:rPr>
          <w:rStyle w:val="apple-converted-space"/>
          <w:color w:val="303030"/>
        </w:rPr>
        <w:t> </w:t>
      </w:r>
      <w:r>
        <w:rPr>
          <w:rStyle w:val="keywordhighlight"/>
          <w:color w:val="303030"/>
        </w:rPr>
        <w:t>modèle</w:t>
      </w:r>
      <w:r>
        <w:rPr>
          <w:color w:val="303030"/>
        </w:rPr>
        <w:t>, la cour d’appel a privé sa décision de base légale au regard de l’article 6 du règlement n° 6/2002 du 12 décembre 2001 sur les</w:t>
      </w:r>
      <w:r>
        <w:rPr>
          <w:rStyle w:val="apple-converted-space"/>
          <w:color w:val="303030"/>
        </w:rPr>
        <w:t> </w:t>
      </w:r>
      <w:r>
        <w:rPr>
          <w:rStyle w:val="keywordhighlight"/>
          <w:color w:val="303030"/>
        </w:rPr>
        <w:t>dessins</w:t>
      </w:r>
      <w:r>
        <w:rPr>
          <w:rStyle w:val="apple-converted-space"/>
          <w:color w:val="303030"/>
        </w:rPr>
        <w:t> </w:t>
      </w:r>
      <w:r>
        <w:rPr>
          <w:color w:val="303030"/>
        </w:rPr>
        <w:t>ou</w:t>
      </w:r>
      <w:r>
        <w:rPr>
          <w:rStyle w:val="apple-converted-space"/>
          <w:color w:val="303030"/>
        </w:rPr>
        <w:t> </w:t>
      </w:r>
      <w:r>
        <w:rPr>
          <w:rStyle w:val="keywordhighlight"/>
          <w:color w:val="303030"/>
        </w:rPr>
        <w:t>modèles</w:t>
      </w:r>
      <w:r>
        <w:rPr>
          <w:rStyle w:val="apple-converted-space"/>
          <w:color w:val="303030"/>
        </w:rPr>
        <w:t> </w:t>
      </w:r>
      <w:r>
        <w:rPr>
          <w:color w:val="303030"/>
        </w:rPr>
        <w:t>communautaires. »</w:t>
      </w:r>
    </w:p>
    <w:p w14:paraId="5E42AA9E" w14:textId="77777777" w:rsidR="00B25F97" w:rsidRDefault="00B25F97" w:rsidP="00B7139F">
      <w:pPr>
        <w:pStyle w:val="NormalWeb"/>
        <w:spacing w:before="0" w:beforeAutospacing="0" w:after="0" w:afterAutospacing="0"/>
        <w:jc w:val="both"/>
        <w:rPr>
          <w:color w:val="303030"/>
        </w:rPr>
      </w:pPr>
      <w:r>
        <w:rPr>
          <w:color w:val="303030"/>
        </w:rPr>
        <w:t>Réponse de la Cour</w:t>
      </w:r>
    </w:p>
    <w:p w14:paraId="3E984A96" w14:textId="42BEC8FA" w:rsidR="00B25F97" w:rsidRDefault="00B25F97" w:rsidP="00B7139F">
      <w:pPr>
        <w:pStyle w:val="NormalWeb"/>
        <w:spacing w:before="0" w:beforeAutospacing="0" w:after="0" w:afterAutospacing="0"/>
        <w:jc w:val="both"/>
        <w:rPr>
          <w:color w:val="303030"/>
        </w:rPr>
      </w:pPr>
      <w:r>
        <w:rPr>
          <w:color w:val="303030"/>
        </w:rPr>
        <w:t>Vu l’article 6 du règlement (CE) n° 6/2002 du Conseil du 12 décembre 2001 sur les</w:t>
      </w:r>
      <w:r>
        <w:rPr>
          <w:rStyle w:val="apple-converted-space"/>
          <w:color w:val="303030"/>
        </w:rPr>
        <w:t> </w:t>
      </w:r>
      <w:r>
        <w:rPr>
          <w:rStyle w:val="keywordhighlight"/>
          <w:color w:val="303030"/>
        </w:rPr>
        <w:t>dessins</w:t>
      </w:r>
      <w:r>
        <w:rPr>
          <w:rStyle w:val="apple-converted-space"/>
          <w:color w:val="303030"/>
        </w:rPr>
        <w:t> </w:t>
      </w:r>
      <w:r>
        <w:rPr>
          <w:color w:val="303030"/>
        </w:rPr>
        <w:t>ou</w:t>
      </w:r>
      <w:r>
        <w:rPr>
          <w:rStyle w:val="apple-converted-space"/>
          <w:color w:val="303030"/>
        </w:rPr>
        <w:t> </w:t>
      </w:r>
      <w:r>
        <w:rPr>
          <w:rStyle w:val="keywordhighlight"/>
          <w:color w:val="303030"/>
        </w:rPr>
        <w:t>modèles</w:t>
      </w:r>
      <w:r w:rsidR="00B7139F">
        <w:rPr>
          <w:rStyle w:val="keywordhighlight"/>
          <w:color w:val="303030"/>
        </w:rPr>
        <w:t xml:space="preserve"> </w:t>
      </w:r>
      <w:r>
        <w:rPr>
          <w:color w:val="303030"/>
        </w:rPr>
        <w:t>communautaires :</w:t>
      </w:r>
    </w:p>
    <w:p w14:paraId="73723880" w14:textId="77777777" w:rsidR="00B25F97" w:rsidRDefault="00B25F97" w:rsidP="00B7139F">
      <w:pPr>
        <w:pStyle w:val="NormalWeb"/>
        <w:spacing w:before="0" w:beforeAutospacing="0" w:after="0" w:afterAutospacing="0"/>
        <w:jc w:val="both"/>
        <w:rPr>
          <w:color w:val="303030"/>
        </w:rPr>
      </w:pPr>
      <w:r>
        <w:rPr>
          <w:color w:val="303030"/>
        </w:rPr>
        <w:t>12. Ce texte dispose :</w:t>
      </w:r>
    </w:p>
    <w:p w14:paraId="7FEE88CC" w14:textId="77777777" w:rsidR="00B25F97" w:rsidRDefault="00B25F97" w:rsidP="00B7139F">
      <w:pPr>
        <w:pStyle w:val="NormalWeb"/>
        <w:spacing w:before="0" w:beforeAutospacing="0" w:after="0" w:afterAutospacing="0"/>
        <w:jc w:val="both"/>
        <w:rPr>
          <w:color w:val="303030"/>
        </w:rPr>
      </w:pPr>
      <w:r>
        <w:rPr>
          <w:color w:val="303030"/>
        </w:rPr>
        <w:t>« 1. Un</w:t>
      </w:r>
      <w:r>
        <w:rPr>
          <w:rStyle w:val="apple-converted-space"/>
          <w:color w:val="303030"/>
        </w:rPr>
        <w:t> </w:t>
      </w:r>
      <w:r>
        <w:rPr>
          <w:rStyle w:val="keywordhighlight"/>
          <w:color w:val="303030"/>
        </w:rPr>
        <w:t>dessin</w:t>
      </w:r>
      <w:r>
        <w:rPr>
          <w:rStyle w:val="apple-converted-space"/>
          <w:color w:val="303030"/>
        </w:rPr>
        <w:t> </w:t>
      </w:r>
      <w:r>
        <w:rPr>
          <w:color w:val="303030"/>
        </w:rPr>
        <w:t>ou</w:t>
      </w:r>
      <w:r>
        <w:rPr>
          <w:rStyle w:val="apple-converted-space"/>
          <w:color w:val="303030"/>
        </w:rPr>
        <w:t> </w:t>
      </w:r>
      <w:r>
        <w:rPr>
          <w:rStyle w:val="keywordhighlight"/>
          <w:color w:val="303030"/>
        </w:rPr>
        <w:t>modèle</w:t>
      </w:r>
      <w:r>
        <w:rPr>
          <w:rStyle w:val="apple-converted-space"/>
          <w:color w:val="303030"/>
        </w:rPr>
        <w:t> </w:t>
      </w:r>
      <w:r>
        <w:rPr>
          <w:color w:val="303030"/>
        </w:rPr>
        <w:t>est considéré comme présentant un caractère individuel si l’impression globale qu’il produit sur l’utilisateur averti diffère de celle que produit sur un tel utilisateur tout</w:t>
      </w:r>
      <w:r>
        <w:rPr>
          <w:rStyle w:val="apple-converted-space"/>
          <w:color w:val="303030"/>
        </w:rPr>
        <w:t> </w:t>
      </w:r>
      <w:r>
        <w:rPr>
          <w:rStyle w:val="keywordhighlight"/>
          <w:color w:val="303030"/>
        </w:rPr>
        <w:t>dessin</w:t>
      </w:r>
      <w:r>
        <w:rPr>
          <w:rStyle w:val="apple-converted-space"/>
          <w:color w:val="303030"/>
        </w:rPr>
        <w:t> </w:t>
      </w:r>
      <w:r>
        <w:rPr>
          <w:color w:val="303030"/>
        </w:rPr>
        <w:t>ou</w:t>
      </w:r>
      <w:r>
        <w:rPr>
          <w:rStyle w:val="apple-converted-space"/>
          <w:color w:val="303030"/>
        </w:rPr>
        <w:t> </w:t>
      </w:r>
      <w:r>
        <w:rPr>
          <w:rStyle w:val="keywordhighlight"/>
          <w:color w:val="303030"/>
        </w:rPr>
        <w:t>modèle</w:t>
      </w:r>
      <w:r>
        <w:rPr>
          <w:rStyle w:val="apple-converted-space"/>
          <w:color w:val="303030"/>
        </w:rPr>
        <w:t> </w:t>
      </w:r>
      <w:r>
        <w:rPr>
          <w:color w:val="303030"/>
        </w:rPr>
        <w:t>qui a été divulgué au public :</w:t>
      </w:r>
    </w:p>
    <w:p w14:paraId="7D02F583" w14:textId="77777777" w:rsidR="00B25F97" w:rsidRDefault="00B25F97" w:rsidP="00B7139F">
      <w:pPr>
        <w:pStyle w:val="NormalWeb"/>
        <w:spacing w:before="0" w:beforeAutospacing="0" w:after="0" w:afterAutospacing="0"/>
        <w:jc w:val="both"/>
        <w:rPr>
          <w:color w:val="303030"/>
        </w:rPr>
      </w:pPr>
      <w:r>
        <w:rPr>
          <w:color w:val="303030"/>
        </w:rPr>
        <w:t>[…]</w:t>
      </w:r>
    </w:p>
    <w:p w14:paraId="7591A915" w14:textId="77777777" w:rsidR="00B25F97" w:rsidRDefault="00B25F97" w:rsidP="00B7139F">
      <w:pPr>
        <w:pStyle w:val="NormalWeb"/>
        <w:spacing w:before="0" w:beforeAutospacing="0" w:after="0" w:afterAutospacing="0"/>
        <w:jc w:val="both"/>
        <w:rPr>
          <w:color w:val="303030"/>
        </w:rPr>
      </w:pPr>
      <w:r>
        <w:rPr>
          <w:color w:val="303030"/>
        </w:rPr>
        <w:t>b) dans le cas d’un</w:t>
      </w:r>
      <w:r>
        <w:rPr>
          <w:rStyle w:val="apple-converted-space"/>
          <w:color w:val="303030"/>
        </w:rPr>
        <w:t> </w:t>
      </w:r>
      <w:r>
        <w:rPr>
          <w:rStyle w:val="keywordhighlight"/>
          <w:color w:val="303030"/>
        </w:rPr>
        <w:t>dessin</w:t>
      </w:r>
      <w:r>
        <w:rPr>
          <w:rStyle w:val="apple-converted-space"/>
          <w:color w:val="303030"/>
        </w:rPr>
        <w:t> </w:t>
      </w:r>
      <w:r>
        <w:rPr>
          <w:color w:val="303030"/>
        </w:rPr>
        <w:t>ou</w:t>
      </w:r>
      <w:r>
        <w:rPr>
          <w:rStyle w:val="apple-converted-space"/>
          <w:color w:val="303030"/>
        </w:rPr>
        <w:t> </w:t>
      </w:r>
      <w:r>
        <w:rPr>
          <w:rStyle w:val="keywordhighlight"/>
          <w:color w:val="303030"/>
        </w:rPr>
        <w:t>modèle</w:t>
      </w:r>
      <w:r>
        <w:rPr>
          <w:rStyle w:val="apple-converted-space"/>
          <w:color w:val="303030"/>
        </w:rPr>
        <w:t> </w:t>
      </w:r>
      <w:r>
        <w:rPr>
          <w:color w:val="303030"/>
        </w:rPr>
        <w:t>communautaire enregistré, avant la date de dépôt de la demande d’enregistrement ou, si une priorité est revendiquée, avant la date de priorité.</w:t>
      </w:r>
    </w:p>
    <w:p w14:paraId="70108CA0" w14:textId="77777777" w:rsidR="00B25F97" w:rsidRDefault="00B25F97" w:rsidP="00B7139F">
      <w:pPr>
        <w:pStyle w:val="NormalWeb"/>
        <w:spacing w:before="0" w:beforeAutospacing="0" w:after="0" w:afterAutospacing="0"/>
        <w:jc w:val="both"/>
        <w:rPr>
          <w:color w:val="303030"/>
        </w:rPr>
      </w:pPr>
      <w:r>
        <w:rPr>
          <w:color w:val="303030"/>
        </w:rPr>
        <w:t>2. Pour apprécier le caractère individuel, il est tenu compte du degré de liberté du créateur dans l’élaboration du</w:t>
      </w:r>
      <w:r>
        <w:rPr>
          <w:rStyle w:val="apple-converted-space"/>
          <w:color w:val="303030"/>
        </w:rPr>
        <w:t> </w:t>
      </w:r>
      <w:r>
        <w:rPr>
          <w:rStyle w:val="keywordhighlight"/>
          <w:color w:val="303030"/>
        </w:rPr>
        <w:t>dessin</w:t>
      </w:r>
      <w:r>
        <w:rPr>
          <w:rStyle w:val="apple-converted-space"/>
          <w:color w:val="303030"/>
        </w:rPr>
        <w:t> </w:t>
      </w:r>
      <w:r>
        <w:rPr>
          <w:color w:val="303030"/>
        </w:rPr>
        <w:t>ou</w:t>
      </w:r>
      <w:r>
        <w:rPr>
          <w:rStyle w:val="apple-converted-space"/>
          <w:color w:val="303030"/>
        </w:rPr>
        <w:t> </w:t>
      </w:r>
      <w:r>
        <w:rPr>
          <w:rStyle w:val="keywordhighlight"/>
          <w:color w:val="303030"/>
        </w:rPr>
        <w:t>modèle</w:t>
      </w:r>
      <w:r>
        <w:rPr>
          <w:color w:val="303030"/>
        </w:rPr>
        <w:t>. »</w:t>
      </w:r>
    </w:p>
    <w:p w14:paraId="45EFDC06" w14:textId="114C9A0E" w:rsidR="00B25F97" w:rsidRDefault="00B25F97" w:rsidP="00B7139F">
      <w:pPr>
        <w:pStyle w:val="NormalWeb"/>
        <w:spacing w:before="0" w:beforeAutospacing="0" w:after="0" w:afterAutospacing="0"/>
        <w:jc w:val="both"/>
        <w:rPr>
          <w:color w:val="303030"/>
        </w:rPr>
      </w:pPr>
      <w:r>
        <w:rPr>
          <w:color w:val="303030"/>
        </w:rPr>
        <w:t>13. Pour, infirmant le jugement, débouter la</w:t>
      </w:r>
      <w:r>
        <w:rPr>
          <w:rStyle w:val="apple-converted-space"/>
          <w:color w:val="303030"/>
        </w:rPr>
        <w:t> </w:t>
      </w:r>
      <w:hyperlink r:id="rId16" w:history="1">
        <w:r>
          <w:rPr>
            <w:rStyle w:val="Lienhypertexte"/>
            <w:color w:val="1A73E8"/>
          </w:rPr>
          <w:t>société La Redoute</w:t>
        </w:r>
      </w:hyperlink>
      <w:r>
        <w:rPr>
          <w:rStyle w:val="apple-converted-space"/>
          <w:color w:val="303030"/>
        </w:rPr>
        <w:t> </w:t>
      </w:r>
      <w:r>
        <w:rPr>
          <w:color w:val="303030"/>
        </w:rPr>
        <w:t>de sa demande d’annulation du</w:t>
      </w:r>
      <w:r>
        <w:rPr>
          <w:rStyle w:val="apple-converted-space"/>
          <w:color w:val="303030"/>
        </w:rPr>
        <w:t> </w:t>
      </w:r>
      <w:r>
        <w:rPr>
          <w:rStyle w:val="keywordhighlight"/>
          <w:color w:val="303030"/>
        </w:rPr>
        <w:t>modèle</w:t>
      </w:r>
      <w:r w:rsidR="00B7139F">
        <w:rPr>
          <w:rStyle w:val="keywordhighlight"/>
          <w:color w:val="303030"/>
        </w:rPr>
        <w:t xml:space="preserve"> </w:t>
      </w:r>
      <w:r>
        <w:rPr>
          <w:color w:val="303030"/>
        </w:rPr>
        <w:t>n° 330337-0001, dire qu’elle a commis des actes de contrefaçon au préjudice de M. [R] et la condamner en réparation à leur payer la somme de 83 385 euros, dont 66 150 euros au titre de ce seul</w:t>
      </w:r>
      <w:r>
        <w:rPr>
          <w:rStyle w:val="apple-converted-space"/>
          <w:color w:val="303030"/>
        </w:rPr>
        <w:t> </w:t>
      </w:r>
      <w:r>
        <w:rPr>
          <w:rStyle w:val="keywordhighlight"/>
          <w:color w:val="303030"/>
        </w:rPr>
        <w:t>modèle</w:t>
      </w:r>
      <w:r>
        <w:rPr>
          <w:color w:val="303030"/>
        </w:rPr>
        <w:t>, l’arrêt retient que, si les</w:t>
      </w:r>
      <w:r>
        <w:rPr>
          <w:rStyle w:val="apple-converted-space"/>
          <w:color w:val="303030"/>
        </w:rPr>
        <w:t> </w:t>
      </w:r>
      <w:r>
        <w:rPr>
          <w:rStyle w:val="keywordhighlight"/>
          <w:color w:val="303030"/>
        </w:rPr>
        <w:t>modèles</w:t>
      </w:r>
      <w:r>
        <w:rPr>
          <w:rStyle w:val="apple-converted-space"/>
          <w:color w:val="303030"/>
        </w:rPr>
        <w:t> </w:t>
      </w:r>
      <w:r>
        <w:rPr>
          <w:color w:val="303030"/>
        </w:rPr>
        <w:t>précédemment commercialisés par la</w:t>
      </w:r>
      <w:r>
        <w:rPr>
          <w:rStyle w:val="apple-converted-space"/>
          <w:color w:val="303030"/>
        </w:rPr>
        <w:t> </w:t>
      </w:r>
      <w:hyperlink r:id="rId17" w:history="1">
        <w:r>
          <w:rPr>
            <w:rStyle w:val="Lienhypertexte"/>
            <w:color w:val="1A73E8"/>
          </w:rPr>
          <w:t>société La Redoute</w:t>
        </w:r>
      </w:hyperlink>
      <w:r>
        <w:rPr>
          <w:rStyle w:val="apple-converted-space"/>
          <w:color w:val="303030"/>
        </w:rPr>
        <w:t> </w:t>
      </w:r>
      <w:r>
        <w:rPr>
          <w:color w:val="303030"/>
        </w:rPr>
        <w:t>et le</w:t>
      </w:r>
      <w:r>
        <w:rPr>
          <w:rStyle w:val="apple-converted-space"/>
          <w:color w:val="303030"/>
        </w:rPr>
        <w:t> </w:t>
      </w:r>
      <w:r>
        <w:rPr>
          <w:rStyle w:val="keywordhighlight"/>
          <w:color w:val="303030"/>
        </w:rPr>
        <w:t>modèle</w:t>
      </w:r>
      <w:r w:rsidR="00B7139F">
        <w:rPr>
          <w:rStyle w:val="keywordhighlight"/>
          <w:color w:val="303030"/>
        </w:rPr>
        <w:t xml:space="preserve"> </w:t>
      </w:r>
      <w:r>
        <w:rPr>
          <w:color w:val="303030"/>
        </w:rPr>
        <w:t>communautaire de parka entrent dans la catégorie générale des « doudounes » et comportent une fermeture boutonnée et deux poches latérales, ce qui est en soi banal, il existe entre elles des différences significatives de matelassage, les deux poches latérales sont différentes et les pressions permettant de fermer le vêtement sont invisibles dans le</w:t>
      </w:r>
      <w:r>
        <w:rPr>
          <w:rStyle w:val="apple-converted-space"/>
          <w:color w:val="303030"/>
        </w:rPr>
        <w:t> </w:t>
      </w:r>
      <w:r>
        <w:rPr>
          <w:rStyle w:val="keywordhighlight"/>
          <w:color w:val="303030"/>
        </w:rPr>
        <w:t>modèle</w:t>
      </w:r>
      <w:r>
        <w:rPr>
          <w:rStyle w:val="apple-converted-space"/>
          <w:color w:val="303030"/>
        </w:rPr>
        <w:t> </w:t>
      </w:r>
      <w:r>
        <w:rPr>
          <w:color w:val="303030"/>
        </w:rPr>
        <w:t>antérieur, cependant qu’elles sont apparentes sur le</w:t>
      </w:r>
      <w:r>
        <w:rPr>
          <w:rStyle w:val="apple-converted-space"/>
          <w:color w:val="303030"/>
        </w:rPr>
        <w:t> </w:t>
      </w:r>
      <w:r>
        <w:rPr>
          <w:rStyle w:val="keywordhighlight"/>
          <w:color w:val="303030"/>
        </w:rPr>
        <w:t>modèle</w:t>
      </w:r>
      <w:r>
        <w:rPr>
          <w:rStyle w:val="apple-converted-space"/>
          <w:color w:val="303030"/>
        </w:rPr>
        <w:t> </w:t>
      </w:r>
      <w:r>
        <w:rPr>
          <w:color w:val="303030"/>
        </w:rPr>
        <w:t xml:space="preserve">enregistré. Il en déduit que l’ensemble de ces différences n’échappera pas à l’utilisatrice avertie qui a l’habitude </w:t>
      </w:r>
      <w:r>
        <w:rPr>
          <w:color w:val="303030"/>
        </w:rPr>
        <w:lastRenderedPageBreak/>
        <w:t>d’acheter des parkas et ne permet pas d’écarter le caractère individuel du</w:t>
      </w:r>
      <w:r>
        <w:rPr>
          <w:rStyle w:val="apple-converted-space"/>
          <w:color w:val="303030"/>
        </w:rPr>
        <w:t> </w:t>
      </w:r>
      <w:r>
        <w:rPr>
          <w:rStyle w:val="keywordhighlight"/>
          <w:color w:val="303030"/>
        </w:rPr>
        <w:t>modèle</w:t>
      </w:r>
      <w:r>
        <w:rPr>
          <w:color w:val="303030"/>
        </w:rPr>
        <w:t>« western coat » n° 330337.</w:t>
      </w:r>
    </w:p>
    <w:p w14:paraId="1DD89C70" w14:textId="77777777" w:rsidR="00B25F97" w:rsidRDefault="00B25F97" w:rsidP="00B7139F">
      <w:pPr>
        <w:pStyle w:val="NormalWeb"/>
        <w:spacing w:before="0" w:beforeAutospacing="0" w:after="0" w:afterAutospacing="0"/>
        <w:jc w:val="both"/>
        <w:rPr>
          <w:color w:val="303030"/>
        </w:rPr>
      </w:pPr>
      <w:r>
        <w:rPr>
          <w:color w:val="303030"/>
        </w:rPr>
        <w:t>14. En se déterminant ainsi, par référence aux différences, sans procéder à la comparaison d’ensemble du</w:t>
      </w:r>
      <w:r>
        <w:rPr>
          <w:rStyle w:val="apple-converted-space"/>
          <w:color w:val="303030"/>
        </w:rPr>
        <w:t> </w:t>
      </w:r>
      <w:r>
        <w:rPr>
          <w:rStyle w:val="keywordhighlight"/>
          <w:color w:val="303030"/>
        </w:rPr>
        <w:t>modèle</w:t>
      </w:r>
      <w:r>
        <w:rPr>
          <w:rStyle w:val="apple-converted-space"/>
          <w:color w:val="303030"/>
        </w:rPr>
        <w:t> </w:t>
      </w:r>
      <w:r>
        <w:rPr>
          <w:color w:val="303030"/>
        </w:rPr>
        <w:t>communautaire enregistré avec le</w:t>
      </w:r>
      <w:r>
        <w:rPr>
          <w:rStyle w:val="apple-converted-space"/>
          <w:color w:val="303030"/>
        </w:rPr>
        <w:t> </w:t>
      </w:r>
      <w:r>
        <w:rPr>
          <w:rStyle w:val="keywordhighlight"/>
          <w:color w:val="303030"/>
        </w:rPr>
        <w:t>modèle</w:t>
      </w:r>
      <w:r>
        <w:rPr>
          <w:rStyle w:val="apple-converted-space"/>
          <w:color w:val="303030"/>
        </w:rPr>
        <w:t> </w:t>
      </w:r>
      <w:r>
        <w:rPr>
          <w:color w:val="303030"/>
        </w:rPr>
        <w:t>antérieur considérés chacun en tous leurs éléments, pris dans leur combinaison, et sans tenir compte du degré de liberté du créateur dans l’élaboration du</w:t>
      </w:r>
      <w:r>
        <w:rPr>
          <w:rStyle w:val="apple-converted-space"/>
          <w:color w:val="303030"/>
        </w:rPr>
        <w:t> </w:t>
      </w:r>
      <w:r>
        <w:rPr>
          <w:rStyle w:val="keywordhighlight"/>
          <w:color w:val="303030"/>
        </w:rPr>
        <w:t>dessin</w:t>
      </w:r>
      <w:r>
        <w:rPr>
          <w:rStyle w:val="apple-converted-space"/>
          <w:color w:val="303030"/>
        </w:rPr>
        <w:t> </w:t>
      </w:r>
      <w:r>
        <w:rPr>
          <w:color w:val="303030"/>
        </w:rPr>
        <w:t>ou</w:t>
      </w:r>
      <w:r>
        <w:rPr>
          <w:rStyle w:val="apple-converted-space"/>
          <w:color w:val="303030"/>
        </w:rPr>
        <w:t> </w:t>
      </w:r>
      <w:r>
        <w:rPr>
          <w:rStyle w:val="keywordhighlight"/>
          <w:color w:val="303030"/>
        </w:rPr>
        <w:t>modèle</w:t>
      </w:r>
      <w:r>
        <w:rPr>
          <w:color w:val="303030"/>
        </w:rPr>
        <w:t>, la cour d’appel a privé sa décision de base légale au regard du texte susvisé.</w:t>
      </w:r>
    </w:p>
    <w:p w14:paraId="6DF3FABC" w14:textId="77777777" w:rsidR="00B7139F" w:rsidRDefault="00B7139F" w:rsidP="00B7139F">
      <w:pPr>
        <w:pStyle w:val="NormalWeb"/>
        <w:spacing w:before="0" w:beforeAutospacing="0" w:after="0" w:afterAutospacing="0"/>
        <w:jc w:val="both"/>
        <w:rPr>
          <w:b/>
          <w:bCs/>
          <w:color w:val="303030"/>
        </w:rPr>
      </w:pPr>
    </w:p>
    <w:p w14:paraId="19F62864" w14:textId="2C30FA02" w:rsidR="00B25F97" w:rsidRDefault="00B25F97" w:rsidP="00B7139F">
      <w:pPr>
        <w:pStyle w:val="NormalWeb"/>
        <w:spacing w:before="0" w:beforeAutospacing="0" w:after="0" w:afterAutospacing="0"/>
        <w:jc w:val="both"/>
        <w:rPr>
          <w:color w:val="303030"/>
        </w:rPr>
      </w:pPr>
      <w:r>
        <w:rPr>
          <w:b/>
          <w:bCs/>
          <w:color w:val="303030"/>
        </w:rPr>
        <w:t>PAR</w:t>
      </w:r>
      <w:r>
        <w:rPr>
          <w:rStyle w:val="apple-converted-space"/>
          <w:color w:val="303030"/>
        </w:rPr>
        <w:t> </w:t>
      </w:r>
      <w:r>
        <w:rPr>
          <w:color w:val="303030"/>
        </w:rPr>
        <w:t>CES MOTIFS, la Cour :</w:t>
      </w:r>
    </w:p>
    <w:p w14:paraId="1378448B" w14:textId="77777777" w:rsidR="00B25F97" w:rsidRDefault="00B25F97" w:rsidP="00B7139F">
      <w:pPr>
        <w:pStyle w:val="NormalWeb"/>
        <w:spacing w:before="0" w:beforeAutospacing="0" w:after="0" w:afterAutospacing="0"/>
        <w:jc w:val="both"/>
        <w:rPr>
          <w:color w:val="303030"/>
        </w:rPr>
      </w:pPr>
      <w:r>
        <w:rPr>
          <w:color w:val="303030"/>
        </w:rPr>
        <w:t>CASSE ET ANNULE, mais seulement en ce qu’il déboute la</w:t>
      </w:r>
      <w:r>
        <w:rPr>
          <w:rStyle w:val="apple-converted-space"/>
          <w:color w:val="303030"/>
        </w:rPr>
        <w:t> </w:t>
      </w:r>
      <w:hyperlink r:id="rId18" w:history="1">
        <w:r>
          <w:rPr>
            <w:rStyle w:val="Lienhypertexte"/>
            <w:color w:val="1A73E8"/>
          </w:rPr>
          <w:t>société La Redoute</w:t>
        </w:r>
      </w:hyperlink>
      <w:r>
        <w:rPr>
          <w:rStyle w:val="apple-converted-space"/>
          <w:color w:val="303030"/>
        </w:rPr>
        <w:t> </w:t>
      </w:r>
      <w:r>
        <w:rPr>
          <w:color w:val="303030"/>
        </w:rPr>
        <w:t>de sa demande d’annulation du</w:t>
      </w:r>
      <w:r>
        <w:rPr>
          <w:rStyle w:val="apple-converted-space"/>
          <w:color w:val="303030"/>
        </w:rPr>
        <w:t> </w:t>
      </w:r>
      <w:r>
        <w:rPr>
          <w:rStyle w:val="keywordhighlight"/>
          <w:color w:val="303030"/>
        </w:rPr>
        <w:t>modèle</w:t>
      </w:r>
      <w:r>
        <w:rPr>
          <w:rStyle w:val="apple-converted-space"/>
          <w:color w:val="303030"/>
        </w:rPr>
        <w:t> </w:t>
      </w:r>
      <w:r>
        <w:rPr>
          <w:color w:val="303030"/>
        </w:rPr>
        <w:t>n° 330337-0001 représentant une veste parka, dit que la</w:t>
      </w:r>
      <w:r>
        <w:rPr>
          <w:rStyle w:val="apple-converted-space"/>
          <w:color w:val="303030"/>
        </w:rPr>
        <w:t> </w:t>
      </w:r>
      <w:hyperlink r:id="rId19" w:history="1">
        <w:r>
          <w:rPr>
            <w:rStyle w:val="Lienhypertexte"/>
            <w:color w:val="1A73E8"/>
          </w:rPr>
          <w:t>société La Redoute</w:t>
        </w:r>
      </w:hyperlink>
      <w:r>
        <w:rPr>
          <w:rStyle w:val="apple-converted-space"/>
          <w:color w:val="303030"/>
        </w:rPr>
        <w:t> </w:t>
      </w:r>
      <w:r>
        <w:rPr>
          <w:color w:val="303030"/>
        </w:rPr>
        <w:t>a commis des actes de contrefaçon de ce</w:t>
      </w:r>
      <w:r>
        <w:rPr>
          <w:rStyle w:val="apple-converted-space"/>
          <w:color w:val="303030"/>
        </w:rPr>
        <w:t> </w:t>
      </w:r>
      <w:r>
        <w:rPr>
          <w:rStyle w:val="keywordhighlight"/>
          <w:color w:val="303030"/>
        </w:rPr>
        <w:t>modèle</w:t>
      </w:r>
      <w:r>
        <w:rPr>
          <w:rStyle w:val="apple-converted-space"/>
          <w:color w:val="303030"/>
        </w:rPr>
        <w:t> </w:t>
      </w:r>
      <w:r>
        <w:rPr>
          <w:color w:val="303030"/>
        </w:rPr>
        <w:t>et la condamne en réparation à payer à M. [R] et à la société Fair Wind Industry Limited la somme de 83 385 euros, dont 66 150 euros au titre de la seule veste parka, l’arrêt rendu le 26 février 2019, entre les parties, par la cour d’appel de Paris ;</w:t>
      </w:r>
    </w:p>
    <w:p w14:paraId="07EA5587" w14:textId="77777777" w:rsidR="00B25F97" w:rsidRDefault="00B25F97" w:rsidP="00B7139F">
      <w:pPr>
        <w:pStyle w:val="NormalWeb"/>
        <w:spacing w:before="0" w:beforeAutospacing="0" w:after="0" w:afterAutospacing="0"/>
        <w:jc w:val="both"/>
        <w:rPr>
          <w:color w:val="303030"/>
        </w:rPr>
      </w:pPr>
      <w:r>
        <w:rPr>
          <w:color w:val="303030"/>
        </w:rPr>
        <w:t>Remet, sur ces points, l’affaire et les parties dans l’état où elles se trouvaient avant cet arrêt et les renvoie devant la cour d’appel de Paris, autrement composée ;</w:t>
      </w:r>
    </w:p>
    <w:p w14:paraId="43DFC507" w14:textId="77777777" w:rsidR="00B25F97" w:rsidRDefault="00B25F97" w:rsidP="00B7139F">
      <w:pPr>
        <w:pStyle w:val="NormalWeb"/>
        <w:spacing w:before="0" w:beforeAutospacing="0" w:after="0" w:afterAutospacing="0"/>
        <w:jc w:val="both"/>
        <w:rPr>
          <w:color w:val="303030"/>
        </w:rPr>
      </w:pPr>
      <w:r>
        <w:rPr>
          <w:color w:val="303030"/>
        </w:rPr>
        <w:t>Condamne M. [R] et la société Fair Wind Industry Limited aux dépens ;</w:t>
      </w:r>
    </w:p>
    <w:p w14:paraId="60232714" w14:textId="5D91E0BD" w:rsidR="000F7689" w:rsidRDefault="000F7689"/>
    <w:p w14:paraId="40679EEF" w14:textId="6248FC5B" w:rsidR="009C352E" w:rsidRDefault="009C352E"/>
    <w:p w14:paraId="25061E7B" w14:textId="76CC0BFA" w:rsidR="009C352E" w:rsidRDefault="009C352E"/>
    <w:p w14:paraId="19AB5291" w14:textId="77AA975F" w:rsidR="009C352E" w:rsidRDefault="009C352E" w:rsidP="009C352E">
      <w:pPr>
        <w:pStyle w:val="NormalWeb"/>
        <w:spacing w:before="0" w:beforeAutospacing="0" w:after="0" w:afterAutospacing="0"/>
        <w:jc w:val="both"/>
        <w:rPr>
          <w:b/>
          <w:bCs/>
          <w:color w:val="303030"/>
        </w:rPr>
      </w:pPr>
      <w:r>
        <w:rPr>
          <w:b/>
          <w:bCs/>
          <w:color w:val="303030"/>
        </w:rPr>
        <w:t>2</w:t>
      </w:r>
      <w:r>
        <w:rPr>
          <w:b/>
          <w:bCs/>
          <w:color w:val="303030"/>
          <w:vertAlign w:val="superscript"/>
        </w:rPr>
        <w:t xml:space="preserve">nd </w:t>
      </w:r>
      <w:r w:rsidRPr="003249EB">
        <w:rPr>
          <w:b/>
          <w:bCs/>
          <w:color w:val="303030"/>
        </w:rPr>
        <w:t>sujet :</w:t>
      </w:r>
      <w:r>
        <w:rPr>
          <w:b/>
          <w:bCs/>
          <w:color w:val="303030"/>
        </w:rPr>
        <w:t xml:space="preserve"> Dissertez sur la question suivante :</w:t>
      </w:r>
    </w:p>
    <w:p w14:paraId="667E092D" w14:textId="0C32F252" w:rsidR="009C352E" w:rsidRDefault="009C352E" w:rsidP="009C352E">
      <w:pPr>
        <w:pStyle w:val="NormalWeb"/>
        <w:spacing w:before="0" w:beforeAutospacing="0" w:after="0" w:afterAutospacing="0"/>
        <w:jc w:val="both"/>
        <w:rPr>
          <w:b/>
          <w:bCs/>
          <w:color w:val="303030"/>
        </w:rPr>
      </w:pPr>
    </w:p>
    <w:p w14:paraId="1986E7A4" w14:textId="584B8AC0" w:rsidR="009C352E" w:rsidRPr="003249EB" w:rsidRDefault="009C352E" w:rsidP="009C352E">
      <w:pPr>
        <w:pStyle w:val="NormalWeb"/>
        <w:spacing w:before="0" w:beforeAutospacing="0" w:after="0" w:afterAutospacing="0"/>
        <w:jc w:val="both"/>
        <w:rPr>
          <w:b/>
          <w:bCs/>
          <w:color w:val="303030"/>
        </w:rPr>
      </w:pPr>
      <w:r>
        <w:rPr>
          <w:b/>
          <w:bCs/>
          <w:color w:val="303030"/>
        </w:rPr>
        <w:t>« L’harmonisation du droit de la propriété intellectuelle est-elle achevée en Europe ? »</w:t>
      </w:r>
    </w:p>
    <w:p w14:paraId="0CF477F9" w14:textId="77777777" w:rsidR="009C352E" w:rsidRDefault="009C352E"/>
    <w:sectPr w:rsidR="009C352E">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6ADF7" w14:textId="77777777" w:rsidR="00B73E3D" w:rsidRDefault="00B73E3D" w:rsidP="00B73E3D">
      <w:r>
        <w:separator/>
      </w:r>
    </w:p>
  </w:endnote>
  <w:endnote w:type="continuationSeparator" w:id="0">
    <w:p w14:paraId="016137DC" w14:textId="77777777" w:rsidR="00B73E3D" w:rsidRDefault="00B73E3D" w:rsidP="00B7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227858"/>
      <w:docPartObj>
        <w:docPartGallery w:val="Page Numbers (Bottom of Page)"/>
        <w:docPartUnique/>
      </w:docPartObj>
    </w:sdtPr>
    <w:sdtContent>
      <w:p w14:paraId="4C528C9C" w14:textId="543C7264" w:rsidR="00B73E3D" w:rsidRDefault="00B73E3D">
        <w:pPr>
          <w:pStyle w:val="Pieddepage"/>
          <w:jc w:val="right"/>
        </w:pPr>
        <w:r>
          <w:fldChar w:fldCharType="begin"/>
        </w:r>
        <w:r>
          <w:instrText>PAGE   \* MERGEFORMAT</w:instrText>
        </w:r>
        <w:r>
          <w:fldChar w:fldCharType="separate"/>
        </w:r>
        <w:r>
          <w:rPr>
            <w:noProof/>
          </w:rPr>
          <w:t>4</w:t>
        </w:r>
        <w:r>
          <w:fldChar w:fldCharType="end"/>
        </w:r>
        <w:r>
          <w:t>/4</w:t>
        </w:r>
      </w:p>
    </w:sdtContent>
  </w:sdt>
  <w:p w14:paraId="66AAF959" w14:textId="77777777" w:rsidR="00B73E3D" w:rsidRDefault="00B73E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C0BF0" w14:textId="77777777" w:rsidR="00B73E3D" w:rsidRDefault="00B73E3D" w:rsidP="00B73E3D">
      <w:r>
        <w:separator/>
      </w:r>
    </w:p>
  </w:footnote>
  <w:footnote w:type="continuationSeparator" w:id="0">
    <w:p w14:paraId="2F5E0D9A" w14:textId="77777777" w:rsidR="00B73E3D" w:rsidRDefault="00B73E3D" w:rsidP="00B73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97"/>
    <w:rsid w:val="000F7689"/>
    <w:rsid w:val="003249EB"/>
    <w:rsid w:val="004E4ADE"/>
    <w:rsid w:val="008E48A7"/>
    <w:rsid w:val="009C352E"/>
    <w:rsid w:val="00B25F97"/>
    <w:rsid w:val="00B7139F"/>
    <w:rsid w:val="00B73E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9F3F"/>
  <w15:chartTrackingRefBased/>
  <w15:docId w15:val="{E04D5348-7AFB-F645-9D0C-FA5C0E8E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25F97"/>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B25F97"/>
  </w:style>
  <w:style w:type="character" w:styleId="Lienhypertexte">
    <w:name w:val="Hyperlink"/>
    <w:basedOn w:val="Policepardfaut"/>
    <w:uiPriority w:val="99"/>
    <w:semiHidden/>
    <w:unhideWhenUsed/>
    <w:rsid w:val="00B25F97"/>
    <w:rPr>
      <w:color w:val="0000FF"/>
      <w:u w:val="single"/>
    </w:rPr>
  </w:style>
  <w:style w:type="character" w:customStyle="1" w:styleId="keywordhighlight">
    <w:name w:val="keyword_highlight"/>
    <w:basedOn w:val="Policepardfaut"/>
    <w:rsid w:val="00B25F97"/>
  </w:style>
  <w:style w:type="paragraph" w:styleId="En-tte">
    <w:name w:val="header"/>
    <w:basedOn w:val="Normal"/>
    <w:link w:val="En-tteCar"/>
    <w:uiPriority w:val="99"/>
    <w:unhideWhenUsed/>
    <w:rsid w:val="00B73E3D"/>
    <w:pPr>
      <w:tabs>
        <w:tab w:val="center" w:pos="4536"/>
        <w:tab w:val="right" w:pos="9072"/>
      </w:tabs>
    </w:pPr>
  </w:style>
  <w:style w:type="character" w:customStyle="1" w:styleId="En-tteCar">
    <w:name w:val="En-tête Car"/>
    <w:basedOn w:val="Policepardfaut"/>
    <w:link w:val="En-tte"/>
    <w:uiPriority w:val="99"/>
    <w:rsid w:val="00B73E3D"/>
  </w:style>
  <w:style w:type="paragraph" w:styleId="Pieddepage">
    <w:name w:val="footer"/>
    <w:basedOn w:val="Normal"/>
    <w:link w:val="PieddepageCar"/>
    <w:uiPriority w:val="99"/>
    <w:unhideWhenUsed/>
    <w:rsid w:val="00B73E3D"/>
    <w:pPr>
      <w:tabs>
        <w:tab w:val="center" w:pos="4536"/>
        <w:tab w:val="right" w:pos="9072"/>
      </w:tabs>
    </w:pPr>
  </w:style>
  <w:style w:type="character" w:customStyle="1" w:styleId="PieddepageCar">
    <w:name w:val="Pied de page Car"/>
    <w:basedOn w:val="Policepardfaut"/>
    <w:link w:val="Pieddepage"/>
    <w:uiPriority w:val="99"/>
    <w:rsid w:val="00B7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rine.fr/e/ENTCF9BB19DB353A17FBA9C?source=decisionPageLink" TargetMode="External"/><Relationship Id="rId13" Type="http://schemas.openxmlformats.org/officeDocument/2006/relationships/hyperlink" Target="https://www.doctrine.fr/e/ENTCF9BB19DB353A17FBA9C?source=decisionPageLink" TargetMode="External"/><Relationship Id="rId18" Type="http://schemas.openxmlformats.org/officeDocument/2006/relationships/hyperlink" Target="https://www.doctrine.fr/e/ENTCF9BB19DB353A17FBA9C?source=decisionPageLin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octrine.fr/e/ENTCF9BB19DB353A17FBA9C?source=decisionPageLink" TargetMode="External"/><Relationship Id="rId12" Type="http://schemas.openxmlformats.org/officeDocument/2006/relationships/hyperlink" Target="https://www.doctrine.fr/e/ENTCF9BB19DB353A17FBA9C?source=decisionPageLink" TargetMode="External"/><Relationship Id="rId17" Type="http://schemas.openxmlformats.org/officeDocument/2006/relationships/hyperlink" Target="https://www.doctrine.fr/e/ENTCF9BB19DB353A17FBA9C?source=decisionPageLink" TargetMode="External"/><Relationship Id="rId2" Type="http://schemas.openxmlformats.org/officeDocument/2006/relationships/settings" Target="settings.xml"/><Relationship Id="rId16" Type="http://schemas.openxmlformats.org/officeDocument/2006/relationships/hyperlink" Target="https://www.doctrine.fr/e/ENTCF9BB19DB353A17FBA9C?source=decisionPageLink"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doctrine.fr/e/ENTCF9BB19DB353A17FBA9C?source=decisionPageLink" TargetMode="External"/><Relationship Id="rId11" Type="http://schemas.openxmlformats.org/officeDocument/2006/relationships/hyperlink" Target="https://www.doctrine.fr/e/ENTCF9BB19DB353A17FBA9C?source=decisionPageLink" TargetMode="External"/><Relationship Id="rId5" Type="http://schemas.openxmlformats.org/officeDocument/2006/relationships/endnotes" Target="endnotes.xml"/><Relationship Id="rId15" Type="http://schemas.openxmlformats.org/officeDocument/2006/relationships/hyperlink" Target="https://www.doctrine.fr/e/ENTCF9BB19DB353A17FBA9C?source=decisionPageLink" TargetMode="External"/><Relationship Id="rId10" Type="http://schemas.openxmlformats.org/officeDocument/2006/relationships/hyperlink" Target="https://www.doctrine.fr/e/ENTCF9BB19DB353A17FBA9C?source=decisionPageLink" TargetMode="External"/><Relationship Id="rId19" Type="http://schemas.openxmlformats.org/officeDocument/2006/relationships/hyperlink" Target="https://www.doctrine.fr/e/ENTCF9BB19DB353A17FBA9C?source=decisionPageLink" TargetMode="External"/><Relationship Id="rId4" Type="http://schemas.openxmlformats.org/officeDocument/2006/relationships/footnotes" Target="footnotes.xml"/><Relationship Id="rId9" Type="http://schemas.openxmlformats.org/officeDocument/2006/relationships/hyperlink" Target="https://www.doctrine.fr/e/ENTCF9BB19DB353A17FBA9C?source=decisionPageLink" TargetMode="External"/><Relationship Id="rId14" Type="http://schemas.openxmlformats.org/officeDocument/2006/relationships/hyperlink" Target="https://www.doctrine.fr/e/ENTCF9BB19DB353A17FBA9C?source=decisionPageLink"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1535</Words>
  <Characters>8448</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GALLOUX</dc:creator>
  <cp:keywords/>
  <dc:description/>
  <cp:lastModifiedBy>UP2</cp:lastModifiedBy>
  <cp:revision>5</cp:revision>
  <dcterms:created xsi:type="dcterms:W3CDTF">2022-11-29T15:17:00Z</dcterms:created>
  <dcterms:modified xsi:type="dcterms:W3CDTF">2022-11-29T17:17:00Z</dcterms:modified>
</cp:coreProperties>
</file>