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10670" w14:textId="77777777" w:rsidR="00944A74" w:rsidRDefault="00944A74" w:rsidP="005735DD">
      <w:pPr>
        <w:widowControl w:val="0"/>
        <w:autoSpaceDE w:val="0"/>
        <w:autoSpaceDN w:val="0"/>
        <w:adjustRightInd w:val="0"/>
        <w:jc w:val="both"/>
        <w:rPr>
          <w:sz w:val="3"/>
          <w:szCs w:val="3"/>
        </w:rPr>
      </w:pPr>
    </w:p>
    <w:p w14:paraId="7C90B2DA" w14:textId="77777777" w:rsidR="00944A74" w:rsidRDefault="00944A74" w:rsidP="005735DD">
      <w:pPr>
        <w:widowControl w:val="0"/>
        <w:tabs>
          <w:tab w:val="center" w:pos="4819"/>
          <w:tab w:val="right" w:pos="9582"/>
        </w:tabs>
        <w:autoSpaceDE w:val="0"/>
        <w:autoSpaceDN w:val="0"/>
        <w:adjustRightInd w:val="0"/>
        <w:jc w:val="both"/>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562A4FED" w14:textId="77777777" w:rsidR="00944A74" w:rsidRDefault="00944A74" w:rsidP="005735DD">
      <w:pPr>
        <w:widowControl w:val="0"/>
        <w:autoSpaceDE w:val="0"/>
        <w:autoSpaceDN w:val="0"/>
        <w:adjustRightInd w:val="0"/>
        <w:jc w:val="both"/>
        <w:rPr>
          <w:rFonts w:ascii="Arial" w:hAnsi="Arial" w:cs="Arial"/>
          <w:b/>
          <w:bCs/>
          <w:color w:val="000000"/>
          <w:sz w:val="20"/>
          <w:szCs w:val="20"/>
        </w:rPr>
      </w:pPr>
    </w:p>
    <w:p w14:paraId="30492552" w14:textId="77777777" w:rsidR="00944A74" w:rsidRDefault="00944A74" w:rsidP="005735DD">
      <w:pPr>
        <w:widowControl w:val="0"/>
        <w:autoSpaceDE w:val="0"/>
        <w:autoSpaceDN w:val="0"/>
        <w:adjustRightInd w:val="0"/>
        <w:jc w:val="both"/>
        <w:rPr>
          <w:rFonts w:ascii="Arial" w:hAnsi="Arial" w:cs="Arial"/>
          <w:b/>
          <w:bCs/>
          <w:color w:val="000000"/>
          <w:sz w:val="8"/>
          <w:szCs w:val="8"/>
        </w:rPr>
      </w:pPr>
    </w:p>
    <w:p w14:paraId="012975B0" w14:textId="14547274" w:rsidR="00944A74" w:rsidRDefault="00944A74" w:rsidP="005735DD">
      <w:pPr>
        <w:widowControl w:val="0"/>
        <w:tabs>
          <w:tab w:val="center" w:pos="4821"/>
          <w:tab w:val="right" w:pos="9582"/>
        </w:tabs>
        <w:autoSpaceDE w:val="0"/>
        <w:autoSpaceDN w:val="0"/>
        <w:adjustRightInd w:val="0"/>
        <w:jc w:val="both"/>
        <w:rPr>
          <w:rFonts w:ascii="Arial" w:hAnsi="Arial" w:cs="Arial"/>
          <w:b/>
          <w:bCs/>
          <w:color w:val="000000"/>
        </w:rPr>
      </w:pPr>
      <w:r>
        <w:tab/>
      </w:r>
      <w:r>
        <w:rPr>
          <w:rFonts w:ascii="Arial" w:hAnsi="Arial" w:cs="Arial"/>
          <w:b/>
          <w:bCs/>
          <w:color w:val="800000"/>
          <w:u w:val="single"/>
        </w:rPr>
        <w:t>Droit - Economie - Sciences Sociales</w:t>
      </w:r>
      <w:r>
        <w:tab/>
      </w:r>
      <w:r w:rsidR="006D0A52">
        <w:rPr>
          <w:rFonts w:ascii="Calibri" w:hAnsi="Calibri" w:cs="Calibri"/>
          <w:color w:val="000000"/>
          <w:sz w:val="22"/>
          <w:szCs w:val="22"/>
        </w:rPr>
        <w:t>M11189AC</w:t>
      </w:r>
    </w:p>
    <w:p w14:paraId="2E948B93" w14:textId="77777777" w:rsidR="00944A74" w:rsidRDefault="00944A74" w:rsidP="005735DD">
      <w:pPr>
        <w:widowControl w:val="0"/>
        <w:autoSpaceDE w:val="0"/>
        <w:autoSpaceDN w:val="0"/>
        <w:adjustRightInd w:val="0"/>
        <w:jc w:val="both"/>
        <w:rPr>
          <w:rFonts w:ascii="Arial" w:hAnsi="Arial" w:cs="Arial"/>
          <w:b/>
          <w:bCs/>
          <w:color w:val="000000"/>
          <w:sz w:val="20"/>
          <w:szCs w:val="20"/>
        </w:rPr>
      </w:pPr>
    </w:p>
    <w:p w14:paraId="13BB4772" w14:textId="77777777" w:rsidR="00944A74" w:rsidRDefault="00944A74" w:rsidP="005735DD">
      <w:pPr>
        <w:widowControl w:val="0"/>
        <w:autoSpaceDE w:val="0"/>
        <w:autoSpaceDN w:val="0"/>
        <w:adjustRightInd w:val="0"/>
        <w:jc w:val="both"/>
        <w:rPr>
          <w:rFonts w:ascii="Arial" w:hAnsi="Arial" w:cs="Arial"/>
          <w:b/>
          <w:bCs/>
          <w:color w:val="000000"/>
          <w:sz w:val="15"/>
          <w:szCs w:val="15"/>
        </w:rPr>
      </w:pPr>
    </w:p>
    <w:p w14:paraId="12B09282" w14:textId="77777777" w:rsidR="00944A74" w:rsidRDefault="00944A74" w:rsidP="005735DD">
      <w:pPr>
        <w:widowControl w:val="0"/>
        <w:tabs>
          <w:tab w:val="left" w:pos="62"/>
        </w:tabs>
        <w:autoSpaceDE w:val="0"/>
        <w:autoSpaceDN w:val="0"/>
        <w:adjustRightInd w:val="0"/>
        <w:jc w:val="both"/>
        <w:rPr>
          <w:rFonts w:ascii="Arial" w:hAnsi="Arial" w:cs="Arial"/>
          <w:color w:val="000000"/>
        </w:rPr>
      </w:pPr>
      <w:r>
        <w:tab/>
      </w:r>
      <w:r w:rsidR="004F6AF8">
        <w:rPr>
          <w:rFonts w:ascii="Arial" w:hAnsi="Arial" w:cs="Arial"/>
          <w:color w:val="000000"/>
        </w:rPr>
        <w:t>Paris</w:t>
      </w:r>
    </w:p>
    <w:p w14:paraId="1AF135E5" w14:textId="77777777" w:rsidR="00944A74" w:rsidRDefault="00944A74" w:rsidP="005735DD">
      <w:pPr>
        <w:widowControl w:val="0"/>
        <w:autoSpaceDE w:val="0"/>
        <w:autoSpaceDN w:val="0"/>
        <w:adjustRightInd w:val="0"/>
        <w:jc w:val="both"/>
        <w:rPr>
          <w:rFonts w:ascii="Arial" w:hAnsi="Arial" w:cs="Arial"/>
          <w:color w:val="000000"/>
          <w:sz w:val="20"/>
          <w:szCs w:val="20"/>
        </w:rPr>
      </w:pPr>
    </w:p>
    <w:p w14:paraId="32AD57EA" w14:textId="77777777" w:rsidR="00944A74" w:rsidRDefault="00944A74" w:rsidP="005735DD">
      <w:pPr>
        <w:widowControl w:val="0"/>
        <w:autoSpaceDE w:val="0"/>
        <w:autoSpaceDN w:val="0"/>
        <w:adjustRightInd w:val="0"/>
        <w:jc w:val="both"/>
        <w:rPr>
          <w:rFonts w:ascii="Arial" w:hAnsi="Arial" w:cs="Arial"/>
          <w:color w:val="000000"/>
          <w:sz w:val="20"/>
          <w:szCs w:val="20"/>
        </w:rPr>
      </w:pPr>
    </w:p>
    <w:p w14:paraId="3F12734D" w14:textId="77777777" w:rsidR="00944A74" w:rsidRDefault="00944A74" w:rsidP="005735DD">
      <w:pPr>
        <w:widowControl w:val="0"/>
        <w:autoSpaceDE w:val="0"/>
        <w:autoSpaceDN w:val="0"/>
        <w:adjustRightInd w:val="0"/>
        <w:jc w:val="both"/>
        <w:rPr>
          <w:rFonts w:ascii="Arial" w:hAnsi="Arial" w:cs="Arial"/>
          <w:color w:val="000000"/>
          <w:sz w:val="6"/>
          <w:szCs w:val="6"/>
        </w:rPr>
      </w:pPr>
    </w:p>
    <w:p w14:paraId="41DE3783" w14:textId="3327FC50" w:rsidR="00944A74" w:rsidRDefault="00944A74" w:rsidP="005735DD">
      <w:pPr>
        <w:widowControl w:val="0"/>
        <w:tabs>
          <w:tab w:val="left" w:pos="56"/>
          <w:tab w:val="left" w:pos="2688"/>
        </w:tabs>
        <w:autoSpaceDE w:val="0"/>
        <w:autoSpaceDN w:val="0"/>
        <w:adjustRightInd w:val="0"/>
        <w:jc w:val="both"/>
        <w:rPr>
          <w:rFonts w:ascii="Arial" w:hAnsi="Arial" w:cs="Arial"/>
          <w:color w:val="000000"/>
        </w:rPr>
      </w:pPr>
      <w:r>
        <w:tab/>
      </w:r>
      <w:r>
        <w:rPr>
          <w:rFonts w:ascii="Arial" w:hAnsi="Arial" w:cs="Arial"/>
          <w:b/>
          <w:bCs/>
          <w:color w:val="000000"/>
        </w:rPr>
        <w:t xml:space="preserve">Session : </w:t>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14:paraId="0504795B" w14:textId="77777777" w:rsidR="00944A74" w:rsidRDefault="00944A74" w:rsidP="005735DD">
      <w:pPr>
        <w:widowControl w:val="0"/>
        <w:autoSpaceDE w:val="0"/>
        <w:autoSpaceDN w:val="0"/>
        <w:adjustRightInd w:val="0"/>
        <w:jc w:val="both"/>
        <w:rPr>
          <w:rFonts w:ascii="Arial" w:hAnsi="Arial" w:cs="Arial"/>
          <w:color w:val="000000"/>
          <w:sz w:val="20"/>
          <w:szCs w:val="20"/>
        </w:rPr>
      </w:pPr>
    </w:p>
    <w:p w14:paraId="17B04698" w14:textId="77777777" w:rsidR="00944A74" w:rsidRDefault="00944A74" w:rsidP="005735DD">
      <w:pPr>
        <w:widowControl w:val="0"/>
        <w:autoSpaceDE w:val="0"/>
        <w:autoSpaceDN w:val="0"/>
        <w:adjustRightInd w:val="0"/>
        <w:jc w:val="both"/>
        <w:rPr>
          <w:rFonts w:ascii="Arial" w:hAnsi="Arial" w:cs="Arial"/>
          <w:color w:val="000000"/>
          <w:sz w:val="20"/>
          <w:szCs w:val="20"/>
        </w:rPr>
      </w:pPr>
    </w:p>
    <w:p w14:paraId="6090E0FA" w14:textId="77777777" w:rsidR="00944A74" w:rsidRDefault="00944A74" w:rsidP="005735DD">
      <w:pPr>
        <w:widowControl w:val="0"/>
        <w:autoSpaceDE w:val="0"/>
        <w:autoSpaceDN w:val="0"/>
        <w:adjustRightInd w:val="0"/>
        <w:jc w:val="both"/>
        <w:rPr>
          <w:rFonts w:ascii="Arial" w:hAnsi="Arial" w:cs="Arial"/>
          <w:color w:val="000000"/>
          <w:sz w:val="10"/>
          <w:szCs w:val="10"/>
        </w:rPr>
      </w:pPr>
    </w:p>
    <w:p w14:paraId="3113B3A8" w14:textId="4C4FF99E" w:rsidR="00944A74" w:rsidRDefault="00944A74" w:rsidP="005735DD">
      <w:pPr>
        <w:widowControl w:val="0"/>
        <w:tabs>
          <w:tab w:val="left" w:pos="56"/>
          <w:tab w:val="left" w:pos="2688"/>
        </w:tabs>
        <w:autoSpaceDE w:val="0"/>
        <w:autoSpaceDN w:val="0"/>
        <w:adjustRightInd w:val="0"/>
        <w:jc w:val="both"/>
        <w:rPr>
          <w:rFonts w:ascii="Arial" w:hAnsi="Arial" w:cs="Arial"/>
          <w:color w:val="000000"/>
        </w:rPr>
      </w:pPr>
      <w:r>
        <w:tab/>
      </w:r>
      <w:r>
        <w:rPr>
          <w:rFonts w:ascii="Arial" w:hAnsi="Arial" w:cs="Arial"/>
          <w:b/>
          <w:bCs/>
          <w:color w:val="000000"/>
        </w:rPr>
        <w:t xml:space="preserve">Année d'étude : </w:t>
      </w:r>
      <w:r w:rsidR="006D0A52" w:rsidRPr="00870593">
        <w:rPr>
          <w:rFonts w:ascii="Arial" w:hAnsi="Arial" w:cs="Arial"/>
          <w:color w:val="000000"/>
        </w:rPr>
        <w:t>Master 1</w:t>
      </w:r>
      <w:r w:rsidR="00870593" w:rsidRPr="00870593">
        <w:t xml:space="preserve"> - (M1 Droit</w:t>
      </w:r>
      <w:r w:rsidR="00870593">
        <w:t>)</w:t>
      </w:r>
    </w:p>
    <w:p w14:paraId="5BE00FE4" w14:textId="77777777" w:rsidR="00944A74" w:rsidRDefault="00944A74" w:rsidP="005735DD">
      <w:pPr>
        <w:widowControl w:val="0"/>
        <w:autoSpaceDE w:val="0"/>
        <w:autoSpaceDN w:val="0"/>
        <w:adjustRightInd w:val="0"/>
        <w:jc w:val="both"/>
        <w:rPr>
          <w:rFonts w:ascii="Arial" w:hAnsi="Arial" w:cs="Arial"/>
          <w:color w:val="000000"/>
          <w:sz w:val="20"/>
          <w:szCs w:val="20"/>
        </w:rPr>
      </w:pPr>
    </w:p>
    <w:p w14:paraId="3DCE9231" w14:textId="77777777" w:rsidR="00944A74" w:rsidRDefault="00944A74" w:rsidP="005735DD">
      <w:pPr>
        <w:widowControl w:val="0"/>
        <w:autoSpaceDE w:val="0"/>
        <w:autoSpaceDN w:val="0"/>
        <w:adjustRightInd w:val="0"/>
        <w:jc w:val="both"/>
        <w:rPr>
          <w:rFonts w:ascii="Arial" w:hAnsi="Arial" w:cs="Arial"/>
          <w:color w:val="000000"/>
          <w:sz w:val="20"/>
          <w:szCs w:val="20"/>
        </w:rPr>
      </w:pPr>
    </w:p>
    <w:p w14:paraId="38CB3F03" w14:textId="77777777" w:rsidR="00944A74" w:rsidRDefault="00944A74" w:rsidP="005735DD">
      <w:pPr>
        <w:widowControl w:val="0"/>
        <w:autoSpaceDE w:val="0"/>
        <w:autoSpaceDN w:val="0"/>
        <w:adjustRightInd w:val="0"/>
        <w:jc w:val="both"/>
        <w:rPr>
          <w:rFonts w:ascii="Arial" w:hAnsi="Arial" w:cs="Arial"/>
          <w:color w:val="000000"/>
          <w:sz w:val="12"/>
          <w:szCs w:val="12"/>
        </w:rPr>
      </w:pPr>
    </w:p>
    <w:p w14:paraId="683D2E6E" w14:textId="173210C1" w:rsidR="00944A74" w:rsidRDefault="00944A74" w:rsidP="005735DD">
      <w:pPr>
        <w:widowControl w:val="0"/>
        <w:tabs>
          <w:tab w:val="left" w:pos="56"/>
          <w:tab w:val="left" w:pos="2688"/>
        </w:tabs>
        <w:autoSpaceDE w:val="0"/>
        <w:autoSpaceDN w:val="0"/>
        <w:adjustRightInd w:val="0"/>
        <w:jc w:val="both"/>
        <w:rPr>
          <w:b/>
          <w:bCs/>
          <w:i/>
          <w:iCs/>
          <w:color w:val="000000"/>
        </w:rPr>
      </w:pPr>
      <w:r>
        <w:tab/>
      </w:r>
      <w:r>
        <w:rPr>
          <w:rFonts w:ascii="Arial" w:hAnsi="Arial" w:cs="Arial"/>
          <w:b/>
          <w:bCs/>
          <w:color w:val="000000"/>
        </w:rPr>
        <w:t xml:space="preserve">Discipline : </w:t>
      </w:r>
      <w:r w:rsidR="006D0A52">
        <w:rPr>
          <w:rFonts w:ascii="Calibri" w:hAnsi="Calibri" w:cs="Calibri"/>
          <w:color w:val="000000"/>
          <w:sz w:val="22"/>
          <w:szCs w:val="22"/>
        </w:rPr>
        <w:t>Contentieux social (civil, pénal et administratif)</w:t>
      </w:r>
      <w:r>
        <w:tab/>
      </w:r>
    </w:p>
    <w:p w14:paraId="0E2B11B9" w14:textId="77777777" w:rsidR="00944A74" w:rsidRDefault="00944A74" w:rsidP="005735DD">
      <w:pPr>
        <w:widowControl w:val="0"/>
        <w:autoSpaceDE w:val="0"/>
        <w:autoSpaceDN w:val="0"/>
        <w:adjustRightInd w:val="0"/>
        <w:jc w:val="both"/>
        <w:rPr>
          <w:b/>
          <w:bCs/>
          <w:i/>
          <w:iCs/>
          <w:color w:val="000000"/>
          <w:sz w:val="8"/>
          <w:szCs w:val="8"/>
        </w:rPr>
      </w:pPr>
    </w:p>
    <w:p w14:paraId="25539EEE" w14:textId="0F525974" w:rsidR="00CD2095" w:rsidRPr="00254799" w:rsidRDefault="00CD2095" w:rsidP="005735DD">
      <w:pPr>
        <w:widowControl w:val="0"/>
        <w:tabs>
          <w:tab w:val="left" w:pos="2688"/>
        </w:tabs>
        <w:autoSpaceDE w:val="0"/>
        <w:autoSpaceDN w:val="0"/>
        <w:adjustRightInd w:val="0"/>
        <w:jc w:val="both"/>
        <w:rPr>
          <w:rFonts w:ascii="Arial" w:hAnsi="Arial" w:cs="Arial"/>
          <w:color w:val="000000"/>
          <w:sz w:val="20"/>
          <w:szCs w:val="20"/>
        </w:rPr>
      </w:pP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1404D732" w14:textId="77777777" w:rsidR="00944A74" w:rsidRDefault="00944A74" w:rsidP="005735DD">
      <w:pPr>
        <w:widowControl w:val="0"/>
        <w:tabs>
          <w:tab w:val="left" w:pos="2688"/>
        </w:tabs>
        <w:autoSpaceDE w:val="0"/>
        <w:autoSpaceDN w:val="0"/>
        <w:adjustRightInd w:val="0"/>
        <w:jc w:val="both"/>
        <w:rPr>
          <w:rFonts w:ascii="Arial" w:hAnsi="Arial" w:cs="Arial"/>
          <w:color w:val="000000"/>
          <w:sz w:val="16"/>
          <w:szCs w:val="16"/>
        </w:rPr>
      </w:pPr>
    </w:p>
    <w:p w14:paraId="18C05EA0" w14:textId="77777777" w:rsidR="00944A74" w:rsidRDefault="00944A74" w:rsidP="005735DD">
      <w:pPr>
        <w:widowControl w:val="0"/>
        <w:autoSpaceDE w:val="0"/>
        <w:autoSpaceDN w:val="0"/>
        <w:adjustRightInd w:val="0"/>
        <w:jc w:val="both"/>
        <w:rPr>
          <w:rFonts w:ascii="Arial" w:hAnsi="Arial" w:cs="Arial"/>
          <w:color w:val="000000"/>
          <w:sz w:val="20"/>
          <w:szCs w:val="20"/>
        </w:rPr>
      </w:pPr>
    </w:p>
    <w:p w14:paraId="26FAE237" w14:textId="77777777" w:rsidR="00944A74" w:rsidRDefault="00944A74" w:rsidP="005735DD">
      <w:pPr>
        <w:widowControl w:val="0"/>
        <w:autoSpaceDE w:val="0"/>
        <w:autoSpaceDN w:val="0"/>
        <w:adjustRightInd w:val="0"/>
        <w:jc w:val="both"/>
        <w:rPr>
          <w:rFonts w:ascii="Arial" w:hAnsi="Arial" w:cs="Arial"/>
          <w:color w:val="000000"/>
          <w:sz w:val="15"/>
          <w:szCs w:val="15"/>
        </w:rPr>
      </w:pPr>
    </w:p>
    <w:p w14:paraId="01C51367" w14:textId="67640CD2" w:rsidR="00944A74" w:rsidRDefault="00944A74" w:rsidP="005735DD">
      <w:pPr>
        <w:widowControl w:val="0"/>
        <w:tabs>
          <w:tab w:val="left" w:pos="56"/>
          <w:tab w:val="left" w:pos="2694"/>
        </w:tabs>
        <w:autoSpaceDE w:val="0"/>
        <w:autoSpaceDN w:val="0"/>
        <w:adjustRightInd w:val="0"/>
        <w:jc w:val="both"/>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6D0A52">
        <w:rPr>
          <w:rFonts w:ascii="Arial" w:hAnsi="Arial" w:cs="Arial"/>
          <w:b/>
          <w:bCs/>
          <w:color w:val="000000"/>
        </w:rPr>
        <w:t>M. CESARO</w:t>
      </w:r>
    </w:p>
    <w:p w14:paraId="00860B79" w14:textId="77777777" w:rsidR="00944A74" w:rsidRDefault="00944A74" w:rsidP="005735DD">
      <w:pPr>
        <w:widowControl w:val="0"/>
        <w:autoSpaceDE w:val="0"/>
        <w:autoSpaceDN w:val="0"/>
        <w:adjustRightInd w:val="0"/>
        <w:jc w:val="both"/>
        <w:rPr>
          <w:rFonts w:ascii="Arial" w:hAnsi="Arial" w:cs="Arial"/>
          <w:b/>
          <w:bCs/>
          <w:color w:val="000000"/>
          <w:sz w:val="10"/>
          <w:szCs w:val="10"/>
        </w:rPr>
      </w:pPr>
    </w:p>
    <w:p w14:paraId="3172C527" w14:textId="77777777" w:rsidR="00944A74" w:rsidRDefault="00944A74" w:rsidP="005735DD">
      <w:pPr>
        <w:widowControl w:val="0"/>
        <w:tabs>
          <w:tab w:val="left" w:pos="2509"/>
        </w:tabs>
        <w:autoSpaceDE w:val="0"/>
        <w:autoSpaceDN w:val="0"/>
        <w:adjustRightInd w:val="0"/>
        <w:jc w:val="both"/>
        <w:rPr>
          <w:rFonts w:ascii="Arial" w:hAnsi="Arial" w:cs="Arial"/>
          <w:color w:val="000000"/>
        </w:rPr>
      </w:pPr>
      <w:r>
        <w:tab/>
      </w:r>
    </w:p>
    <w:p w14:paraId="1B022961" w14:textId="77777777" w:rsidR="00944A74" w:rsidRDefault="00944A74" w:rsidP="005735DD">
      <w:pPr>
        <w:widowControl w:val="0"/>
        <w:autoSpaceDE w:val="0"/>
        <w:autoSpaceDN w:val="0"/>
        <w:adjustRightInd w:val="0"/>
        <w:jc w:val="both"/>
        <w:rPr>
          <w:rFonts w:ascii="Arial" w:hAnsi="Arial" w:cs="Arial"/>
          <w:color w:val="000000"/>
          <w:sz w:val="20"/>
          <w:szCs w:val="20"/>
        </w:rPr>
      </w:pPr>
    </w:p>
    <w:p w14:paraId="3CFA281F" w14:textId="0D4225D7" w:rsidR="00110FE2" w:rsidRPr="00110FE2" w:rsidRDefault="00110FE2" w:rsidP="005735DD">
      <w:pPr>
        <w:widowControl w:val="0"/>
        <w:tabs>
          <w:tab w:val="left" w:pos="56"/>
          <w:tab w:val="left" w:pos="2694"/>
        </w:tabs>
        <w:autoSpaceDE w:val="0"/>
        <w:autoSpaceDN w:val="0"/>
        <w:adjustRightInd w:val="0"/>
        <w:jc w:val="both"/>
        <w:rPr>
          <w:rFonts w:ascii="Arial" w:hAnsi="Arial" w:cs="Arial"/>
          <w:b/>
        </w:rPr>
      </w:pPr>
      <w:r w:rsidRPr="00110FE2">
        <w:rPr>
          <w:rFonts w:ascii="Arial" w:hAnsi="Arial" w:cs="Arial"/>
          <w:b/>
        </w:rPr>
        <w:t xml:space="preserve">Durée de l’épreuve : </w:t>
      </w:r>
      <w:r w:rsidR="006E78FF">
        <w:rPr>
          <w:rFonts w:ascii="Arial" w:hAnsi="Arial" w:cs="Arial"/>
          <w:b/>
        </w:rPr>
        <w:tab/>
      </w:r>
      <w:r w:rsidR="006D0A52">
        <w:rPr>
          <w:rFonts w:ascii="Arial" w:hAnsi="Arial" w:cs="Arial"/>
          <w:b/>
        </w:rPr>
        <w:t>3H</w:t>
      </w:r>
    </w:p>
    <w:p w14:paraId="63E20018" w14:textId="77777777" w:rsidR="00110FE2" w:rsidRDefault="00110FE2" w:rsidP="005735DD">
      <w:pPr>
        <w:widowControl w:val="0"/>
        <w:tabs>
          <w:tab w:val="left" w:pos="56"/>
        </w:tabs>
        <w:autoSpaceDE w:val="0"/>
        <w:autoSpaceDN w:val="0"/>
        <w:adjustRightInd w:val="0"/>
        <w:jc w:val="both"/>
      </w:pPr>
    </w:p>
    <w:p w14:paraId="702A7E2B" w14:textId="77777777" w:rsidR="00AE726E" w:rsidRDefault="00AE726E" w:rsidP="005735DD">
      <w:pPr>
        <w:widowControl w:val="0"/>
        <w:tabs>
          <w:tab w:val="left" w:pos="56"/>
        </w:tabs>
        <w:autoSpaceDE w:val="0"/>
        <w:autoSpaceDN w:val="0"/>
        <w:adjustRightInd w:val="0"/>
        <w:jc w:val="both"/>
      </w:pPr>
    </w:p>
    <w:p w14:paraId="29373594" w14:textId="51B26CD5" w:rsidR="00944A74" w:rsidRDefault="00944A74" w:rsidP="005735DD">
      <w:pPr>
        <w:widowControl w:val="0"/>
        <w:tabs>
          <w:tab w:val="left" w:pos="56"/>
        </w:tabs>
        <w:autoSpaceDE w:val="0"/>
        <w:autoSpaceDN w:val="0"/>
        <w:adjustRightInd w:val="0"/>
        <w:jc w:val="both"/>
        <w:rPr>
          <w:rFonts w:ascii="Arial" w:hAnsi="Arial" w:cs="Arial"/>
          <w:b/>
          <w:bCs/>
          <w:color w:val="000000"/>
        </w:rPr>
      </w:pPr>
      <w:r>
        <w:rPr>
          <w:rFonts w:ascii="Arial" w:hAnsi="Arial" w:cs="Arial"/>
          <w:b/>
          <w:bCs/>
          <w:color w:val="000000"/>
        </w:rPr>
        <w:t xml:space="preserve">Document(s) autorisé(s) : </w:t>
      </w:r>
      <w:r w:rsidR="006D0A52">
        <w:rPr>
          <w:rFonts w:ascii="Arial" w:hAnsi="Arial" w:cs="Arial"/>
          <w:b/>
          <w:bCs/>
          <w:color w:val="000000"/>
        </w:rPr>
        <w:t>Code du travail, Code de procédure civile.</w:t>
      </w:r>
    </w:p>
    <w:p w14:paraId="460F2F47" w14:textId="77777777" w:rsidR="00C62AB8" w:rsidRDefault="00C62AB8" w:rsidP="005735DD">
      <w:pPr>
        <w:jc w:val="both"/>
      </w:pPr>
    </w:p>
    <w:p w14:paraId="3A1C2E88" w14:textId="382B6384" w:rsidR="00592525" w:rsidRPr="00A44087" w:rsidRDefault="00592525" w:rsidP="005735DD">
      <w:pPr>
        <w:jc w:val="both"/>
        <w:rPr>
          <w:rFonts w:ascii="Arial" w:hAnsi="Arial" w:cs="Arial"/>
          <w:i/>
          <w:sz w:val="22"/>
          <w:szCs w:val="22"/>
        </w:rPr>
      </w:pPr>
      <w:r w:rsidRPr="00A44087">
        <w:rPr>
          <w:rFonts w:ascii="Arial" w:hAnsi="Arial" w:cs="Arial"/>
          <w:i/>
          <w:sz w:val="22"/>
          <w:szCs w:val="22"/>
        </w:rPr>
        <w:t xml:space="preserve">Ce sujet comporte </w:t>
      </w:r>
      <w:r w:rsidR="00D42551">
        <w:rPr>
          <w:rFonts w:ascii="Arial" w:hAnsi="Arial" w:cs="Arial"/>
          <w:i/>
          <w:sz w:val="22"/>
          <w:szCs w:val="22"/>
        </w:rPr>
        <w:t>4</w:t>
      </w:r>
      <w:r w:rsidRPr="00A44087">
        <w:rPr>
          <w:rFonts w:ascii="Arial" w:hAnsi="Arial" w:cs="Arial"/>
          <w:i/>
          <w:sz w:val="22"/>
          <w:szCs w:val="22"/>
        </w:rPr>
        <w:t xml:space="preserve"> pages. Avant de composer, veuillez vérifier que votre sujet est complet.</w:t>
      </w:r>
    </w:p>
    <w:p w14:paraId="2E0061EF" w14:textId="77777777" w:rsidR="00B546FA" w:rsidRDefault="00B546FA" w:rsidP="00B546FA">
      <w:pPr>
        <w:jc w:val="center"/>
        <w:rPr>
          <w:i/>
          <w:sz w:val="22"/>
          <w:szCs w:val="22"/>
        </w:rPr>
      </w:pPr>
    </w:p>
    <w:p w14:paraId="6631DA17" w14:textId="6674E84B" w:rsidR="00944A74" w:rsidRPr="00A44087" w:rsidRDefault="00B546FA" w:rsidP="00B546FA">
      <w:pPr>
        <w:jc w:val="center"/>
        <w:rPr>
          <w:i/>
          <w:sz w:val="22"/>
          <w:szCs w:val="22"/>
        </w:rPr>
      </w:pPr>
      <w:r>
        <w:rPr>
          <w:i/>
          <w:sz w:val="22"/>
          <w:szCs w:val="22"/>
        </w:rPr>
        <w:t>***</w:t>
      </w:r>
    </w:p>
    <w:p w14:paraId="21889786" w14:textId="77777777" w:rsidR="00944A74" w:rsidRDefault="00944A74" w:rsidP="005735DD">
      <w:pPr>
        <w:jc w:val="both"/>
      </w:pPr>
    </w:p>
    <w:p w14:paraId="1029AA21" w14:textId="53098C37" w:rsidR="00BF393C" w:rsidRDefault="006D0A52" w:rsidP="005735DD">
      <w:pPr>
        <w:jc w:val="both"/>
      </w:pPr>
      <w:r>
        <w:rPr>
          <w:b/>
          <w:bCs/>
        </w:rPr>
        <w:t xml:space="preserve">Sujet théorique : </w:t>
      </w:r>
      <w:r>
        <w:t>Le temps et le procès social.</w:t>
      </w:r>
    </w:p>
    <w:p w14:paraId="30550EF2" w14:textId="77777777" w:rsidR="00033D24" w:rsidRDefault="00033D24" w:rsidP="005735DD">
      <w:pPr>
        <w:jc w:val="both"/>
      </w:pPr>
    </w:p>
    <w:p w14:paraId="55A7EFAF" w14:textId="7DC8818B" w:rsidR="006D0A52" w:rsidRDefault="00033D24" w:rsidP="005735DD">
      <w:pPr>
        <w:jc w:val="both"/>
      </w:pPr>
      <w:proofErr w:type="gramStart"/>
      <w:r>
        <w:t>OU</w:t>
      </w:r>
      <w:proofErr w:type="gramEnd"/>
    </w:p>
    <w:p w14:paraId="101EB021" w14:textId="77777777" w:rsidR="00033D24" w:rsidRDefault="00033D24" w:rsidP="005735DD">
      <w:pPr>
        <w:jc w:val="both"/>
      </w:pPr>
    </w:p>
    <w:p w14:paraId="54540C53" w14:textId="41F536F9" w:rsidR="006D0A52" w:rsidRDefault="006D0A52" w:rsidP="005735DD">
      <w:pPr>
        <w:jc w:val="both"/>
        <w:rPr>
          <w:b/>
          <w:bCs/>
        </w:rPr>
      </w:pPr>
      <w:r>
        <w:rPr>
          <w:b/>
          <w:bCs/>
        </w:rPr>
        <w:t>Sujet pratique : Commentaire d’arrêt</w:t>
      </w:r>
    </w:p>
    <w:p w14:paraId="774ABA22" w14:textId="08D395BA" w:rsidR="0090388D" w:rsidRDefault="0090388D" w:rsidP="005735DD">
      <w:pPr>
        <w:jc w:val="both"/>
        <w:rPr>
          <w:b/>
          <w:bCs/>
        </w:rPr>
      </w:pPr>
    </w:p>
    <w:p w14:paraId="58EA3094" w14:textId="77777777" w:rsidR="005735DD" w:rsidRDefault="0090388D" w:rsidP="005735DD">
      <w:pPr>
        <w:jc w:val="both"/>
        <w:rPr>
          <w:rFonts w:ascii="-webkit-standard" w:hAnsi="-webkit-standard"/>
          <w:color w:val="000000"/>
        </w:rPr>
      </w:pPr>
      <w:r w:rsidRPr="005735DD">
        <w:rPr>
          <w:rFonts w:ascii="-webkit-standard" w:hAnsi="-webkit-standard"/>
          <w:color w:val="000000"/>
        </w:rPr>
        <w:t xml:space="preserve">Cass. </w:t>
      </w:r>
      <w:proofErr w:type="gramStart"/>
      <w:r w:rsidRPr="005735DD">
        <w:rPr>
          <w:rFonts w:ascii="-webkit-standard" w:hAnsi="-webkit-standard"/>
          <w:color w:val="000000"/>
        </w:rPr>
        <w:t>soc</w:t>
      </w:r>
      <w:proofErr w:type="gramEnd"/>
      <w:r w:rsidRPr="005735DD">
        <w:rPr>
          <w:rFonts w:ascii="-webkit-standard" w:hAnsi="-webkit-standard"/>
          <w:color w:val="000000"/>
        </w:rPr>
        <w:t xml:space="preserve">. </w:t>
      </w:r>
      <w:r w:rsidRPr="0090388D">
        <w:rPr>
          <w:rFonts w:ascii="-webkit-standard" w:hAnsi="-webkit-standard"/>
          <w:color w:val="000000"/>
        </w:rPr>
        <w:t>15 juin 2022</w:t>
      </w:r>
      <w:r w:rsidR="00C45D80" w:rsidRPr="005735DD">
        <w:rPr>
          <w:rFonts w:ascii="-webkit-standard" w:hAnsi="-webkit-standard"/>
          <w:color w:val="000000"/>
        </w:rPr>
        <w:t>, pourvoi n°</w:t>
      </w:r>
      <w:r w:rsidR="00C45D80" w:rsidRPr="0090388D">
        <w:rPr>
          <w:rFonts w:ascii="-webkit-standard" w:hAnsi="-webkit-standard"/>
          <w:color w:val="000000"/>
        </w:rPr>
        <w:t>20-22.430</w:t>
      </w:r>
    </w:p>
    <w:p w14:paraId="469D2023" w14:textId="72A68F8D" w:rsidR="005735DD" w:rsidRDefault="0090388D" w:rsidP="005735DD">
      <w:pPr>
        <w:jc w:val="both"/>
        <w:rPr>
          <w:rFonts w:ascii="-webkit-standard" w:hAnsi="-webkit-standard"/>
          <w:b/>
          <w:bCs/>
          <w:color w:val="000000"/>
        </w:rPr>
      </w:pPr>
      <w:r w:rsidRPr="0090388D">
        <w:rPr>
          <w:rFonts w:ascii="-webkit-standard" w:hAnsi="-webkit-standard"/>
          <w:color w:val="000000"/>
        </w:rPr>
        <w:br/>
      </w:r>
      <w:r w:rsidR="00D42551">
        <w:rPr>
          <w:rFonts w:ascii="-webkit-standard" w:hAnsi="-webkit-standard"/>
          <w:color w:val="000000"/>
        </w:rPr>
        <w:t>L</w:t>
      </w:r>
      <w:r w:rsidRPr="0090388D">
        <w:rPr>
          <w:rFonts w:ascii="-webkit-standard" w:hAnsi="-webkit-standard"/>
          <w:color w:val="000000"/>
        </w:rPr>
        <w:t>a chambre sociale de la Cour de cassation, composée des président et conseillers précités, après en avoir délibéré conformément à la loi, a rendu le présent arrêt ; </w:t>
      </w:r>
      <w:r w:rsidRPr="0090388D">
        <w:rPr>
          <w:rFonts w:ascii="-webkit-standard" w:hAnsi="-webkit-standard"/>
          <w:color w:val="000000"/>
        </w:rPr>
        <w:br/>
      </w:r>
      <w:r w:rsidRPr="0090388D">
        <w:rPr>
          <w:rFonts w:ascii="-webkit-standard" w:hAnsi="-webkit-standard"/>
          <w:color w:val="000000"/>
        </w:rPr>
        <w:br/>
      </w:r>
      <w:r w:rsidRPr="0090388D">
        <w:rPr>
          <w:rFonts w:ascii="-webkit-standard" w:hAnsi="-webkit-standard"/>
          <w:b/>
          <w:bCs/>
          <w:color w:val="000000"/>
        </w:rPr>
        <w:t>Faits et procédure </w:t>
      </w:r>
    </w:p>
    <w:p w14:paraId="408F2132" w14:textId="14E6BA5B" w:rsidR="005735DD" w:rsidRDefault="0090388D" w:rsidP="005735DD">
      <w:pPr>
        <w:jc w:val="both"/>
        <w:rPr>
          <w:rFonts w:ascii="-webkit-standard" w:hAnsi="-webkit-standard"/>
          <w:color w:val="000000"/>
        </w:rPr>
      </w:pPr>
      <w:r w:rsidRPr="0090388D">
        <w:rPr>
          <w:rFonts w:ascii="-webkit-standard" w:hAnsi="-webkit-standard"/>
          <w:color w:val="000000"/>
        </w:rPr>
        <w:br/>
        <w:t xml:space="preserve">1. Selon l'arrêt attaqué (Caen, 1er octobre 2020), Mme [C] a été embauchée par la société Établissements </w:t>
      </w:r>
      <w:proofErr w:type="spellStart"/>
      <w:r w:rsidRPr="0090388D">
        <w:rPr>
          <w:rFonts w:ascii="-webkit-standard" w:hAnsi="-webkit-standard"/>
          <w:color w:val="000000"/>
        </w:rPr>
        <w:t>Mauviel</w:t>
      </w:r>
      <w:proofErr w:type="spellEnd"/>
      <w:r w:rsidRPr="0090388D">
        <w:rPr>
          <w:rFonts w:ascii="-webkit-standard" w:hAnsi="-webkit-standard"/>
          <w:color w:val="000000"/>
        </w:rPr>
        <w:t xml:space="preserve"> (la société), en qualité d'assistante commerciale, à compter du 1er août 2010.</w:t>
      </w:r>
    </w:p>
    <w:p w14:paraId="6BCDF64A" w14:textId="4DF94857" w:rsidR="005735DD" w:rsidRDefault="0090388D" w:rsidP="005735DD">
      <w:pPr>
        <w:jc w:val="both"/>
        <w:rPr>
          <w:rFonts w:ascii="-webkit-standard" w:hAnsi="-webkit-standard"/>
          <w:color w:val="000000"/>
        </w:rPr>
      </w:pPr>
      <w:r w:rsidRPr="0090388D">
        <w:rPr>
          <w:rFonts w:ascii="-webkit-standard" w:hAnsi="-webkit-standard"/>
          <w:color w:val="000000"/>
        </w:rPr>
        <w:t>2. Elle a été désignée membre du comité d'hygiène, de sécurité et des conditions de travail.</w:t>
      </w:r>
      <w:r w:rsidRPr="0090388D">
        <w:rPr>
          <w:rFonts w:ascii="-webkit-standard" w:hAnsi="-webkit-standard"/>
          <w:color w:val="000000"/>
        </w:rPr>
        <w:br/>
        <w:t>3. Par requête en date du 26 janvier 2017, elle a saisi la juridiction prud'homale de demandes de résiliation de son contrat de travail et de paiement de diverses sommes.</w:t>
      </w:r>
      <w:r w:rsidRPr="0090388D">
        <w:rPr>
          <w:rFonts w:ascii="-webkit-standard" w:hAnsi="-webkit-standard"/>
          <w:color w:val="000000"/>
        </w:rPr>
        <w:br/>
      </w:r>
      <w:r w:rsidRPr="0090388D">
        <w:rPr>
          <w:rFonts w:ascii="-webkit-standard" w:hAnsi="-webkit-standard"/>
          <w:color w:val="000000"/>
        </w:rPr>
        <w:lastRenderedPageBreak/>
        <w:t>4. Par lettre du 24 novembre 2017, elle a été licenciée, après autorisation de l'inspecteur du travail, pour inaptitude et impossibilité de reclassement.</w:t>
      </w:r>
    </w:p>
    <w:p w14:paraId="066193D9" w14:textId="6871AB85" w:rsidR="005735DD" w:rsidRDefault="0090388D" w:rsidP="005735DD">
      <w:pPr>
        <w:jc w:val="both"/>
        <w:rPr>
          <w:rFonts w:ascii="-webkit-standard" w:hAnsi="-webkit-standard"/>
          <w:color w:val="000000"/>
        </w:rPr>
      </w:pPr>
      <w:r w:rsidRPr="0090388D">
        <w:rPr>
          <w:rFonts w:ascii="-webkit-standard" w:hAnsi="-webkit-standard"/>
          <w:color w:val="000000"/>
        </w:rPr>
        <w:br/>
      </w:r>
      <w:r w:rsidRPr="0090388D">
        <w:rPr>
          <w:rFonts w:ascii="-webkit-standard" w:hAnsi="-webkit-standard"/>
          <w:color w:val="000000"/>
        </w:rPr>
        <w:br/>
      </w:r>
      <w:r w:rsidRPr="0090388D">
        <w:rPr>
          <w:rFonts w:ascii="-webkit-standard" w:hAnsi="-webkit-standard"/>
          <w:b/>
          <w:bCs/>
          <w:color w:val="000000"/>
        </w:rPr>
        <w:t>Examen des moyens</w:t>
      </w:r>
    </w:p>
    <w:p w14:paraId="73DB52CA" w14:textId="77777777" w:rsidR="00D42551" w:rsidRDefault="0090388D" w:rsidP="005735DD">
      <w:pPr>
        <w:jc w:val="both"/>
        <w:rPr>
          <w:rFonts w:ascii="-webkit-standard" w:hAnsi="-webkit-standard"/>
          <w:color w:val="000000"/>
        </w:rPr>
      </w:pPr>
      <w:r w:rsidRPr="0090388D">
        <w:rPr>
          <w:rFonts w:ascii="-webkit-standard" w:hAnsi="-webkit-standard"/>
          <w:color w:val="000000"/>
        </w:rPr>
        <w:t>Sur les premier, deuxième et troisième moyens, ci-après annexés</w:t>
      </w:r>
    </w:p>
    <w:p w14:paraId="71BFB963" w14:textId="6337EF11" w:rsidR="00D42551" w:rsidRDefault="0090388D" w:rsidP="005735DD">
      <w:pPr>
        <w:jc w:val="both"/>
        <w:rPr>
          <w:rFonts w:ascii="-webkit-standard" w:hAnsi="-webkit-standard"/>
          <w:color w:val="000000"/>
        </w:rPr>
      </w:pPr>
      <w:r w:rsidRPr="0090388D">
        <w:rPr>
          <w:rFonts w:ascii="-webkit-standard" w:hAnsi="-webkit-standard"/>
          <w:color w:val="000000"/>
        </w:rPr>
        <w:br/>
      </w:r>
      <w:r w:rsidR="005735DD">
        <w:rPr>
          <w:rFonts w:ascii="-webkit-standard" w:hAnsi="-webkit-standard"/>
          <w:color w:val="000000"/>
        </w:rPr>
        <w:t>[…]</w:t>
      </w:r>
    </w:p>
    <w:p w14:paraId="420DDDF6" w14:textId="0C8552A2" w:rsidR="005735DD" w:rsidRPr="005735DD" w:rsidRDefault="0090388D" w:rsidP="005735DD">
      <w:pPr>
        <w:jc w:val="both"/>
        <w:rPr>
          <w:rFonts w:ascii="-webkit-standard" w:hAnsi="-webkit-standard"/>
          <w:b/>
          <w:bCs/>
          <w:color w:val="000000"/>
        </w:rPr>
      </w:pPr>
      <w:r w:rsidRPr="0090388D">
        <w:rPr>
          <w:rFonts w:ascii="-webkit-standard" w:hAnsi="-webkit-standard"/>
          <w:color w:val="000000"/>
        </w:rPr>
        <w:br/>
        <w:t>Enoncé du moyen</w:t>
      </w:r>
    </w:p>
    <w:p w14:paraId="3D5FEAD4" w14:textId="5579F08B" w:rsidR="005735DD" w:rsidRDefault="0090388D" w:rsidP="005735DD">
      <w:pPr>
        <w:jc w:val="both"/>
        <w:rPr>
          <w:rFonts w:ascii="-webkit-standard" w:hAnsi="-webkit-standard"/>
          <w:color w:val="000000"/>
        </w:rPr>
      </w:pPr>
      <w:r w:rsidRPr="0090388D">
        <w:rPr>
          <w:rFonts w:ascii="-webkit-standard" w:hAnsi="-webkit-standard"/>
          <w:color w:val="000000"/>
        </w:rPr>
        <w:t>6. La société fait grief à l'arrêt de la condamner à payer à la salariée diverses sommes au titre de l'indemnité de préavis et des congés payés afférents, ainsi que « pour licenciement nul (en réalité indemnité de licenciement) », de lui ordonner de remettre à la salariée les documents de fin de contrat de travail et les bulletins de paie rectifiés, d'ordonner le remboursement des allocations chômage, de la condamner à payer à la salariée une certaine somme au titre de l'indemnité pour « rupture du licenciement produisant les effets d'un licenciement nul », alors :</w:t>
      </w:r>
    </w:p>
    <w:p w14:paraId="0652995C" w14:textId="23C0A31B" w:rsidR="005735DD" w:rsidRDefault="0090388D" w:rsidP="005735DD">
      <w:pPr>
        <w:jc w:val="both"/>
        <w:rPr>
          <w:rFonts w:ascii="-webkit-standard" w:hAnsi="-webkit-standard"/>
          <w:color w:val="000000"/>
        </w:rPr>
      </w:pPr>
      <w:r w:rsidRPr="0090388D">
        <w:rPr>
          <w:rFonts w:ascii="-webkit-standard" w:hAnsi="-webkit-standard"/>
          <w:color w:val="000000"/>
        </w:rPr>
        <w:t>« 1°/ que lorsqu'un licenciement a été notifié à la suite d'une autorisation administrative de licenciement, le juge judiciaire ne peut, sans violer le principe de la séparation des pouvoirs, se prononcer sur une demande de résiliation judiciaire formée par le salarié même si sa saisine était antérieure à la rupture ; qu'en l'espèce, il résulte de l'arrêt que la salariée a été licenciée le 24 novembre 2017 après autorisation de l'inspecteur du travail, décision contre laquelle elle n'a pas exercé de recours ; qu'en prononçant cependant la résiliation judiciaire du contrat de travail et en jugeant qu'elle produisait les effets d'une rupture nulle, la cour d'appel a violé le principe de la séparation des pouvoirs, ensemble la loi des 16-24 août 1790 et le décret du 16 fructidor an III ;</w:t>
      </w:r>
    </w:p>
    <w:p w14:paraId="37CC0E5A" w14:textId="29D20550" w:rsidR="005735DD" w:rsidRDefault="0090388D" w:rsidP="005735DD">
      <w:pPr>
        <w:jc w:val="both"/>
        <w:rPr>
          <w:rFonts w:ascii="-webkit-standard" w:hAnsi="-webkit-standard"/>
          <w:color w:val="000000"/>
        </w:rPr>
      </w:pPr>
      <w:r w:rsidRPr="0090388D">
        <w:rPr>
          <w:rFonts w:ascii="-webkit-standard" w:hAnsi="-webkit-standard"/>
          <w:color w:val="000000"/>
        </w:rPr>
        <w:t>2°/ que lorsqu'un licenciement a été notifié à la suite d'une autorisation administrative de licenciement, le juge judiciaire ne peut, sans violer le principe de la séparation des pouvoirs, remettre en cause la validité du licenciement et donc accorder au salarié des dommages-et-intérêts pour licenciement nul ; qu'en l'espèce, il résulte de l'arrêt que la salariée a été licenciée le 24 novembre 2017 après autorisation de l'inspecteur du travail, décision contre laquelle elle n'a pas exercé de recours ; qu'en condamnant cependant l'employeur à lui payer la somme de 45 500 euros ''au titre de l'indemnité pour rupture du licenciement produisant les effets d'un licenciement nul'', la cour d'appel a violé le principe de la séparation des pouvoirs, ensemble la loi des 16-24 août 1790 et le décret du 16 fructidor an III ;</w:t>
      </w:r>
    </w:p>
    <w:p w14:paraId="27796AEB" w14:textId="2A4F693D" w:rsidR="005735DD" w:rsidRDefault="0090388D" w:rsidP="005735DD">
      <w:pPr>
        <w:jc w:val="both"/>
        <w:rPr>
          <w:rFonts w:ascii="-webkit-standard" w:hAnsi="-webkit-standard"/>
          <w:color w:val="000000"/>
        </w:rPr>
      </w:pPr>
      <w:r w:rsidRPr="0090388D">
        <w:rPr>
          <w:rFonts w:ascii="-webkit-standard" w:hAnsi="-webkit-standard"/>
          <w:color w:val="000000"/>
        </w:rPr>
        <w:t>3°/ que lorsqu'un licenciement a été notifié à la suite d'une autorisation administrative de licenciement, le juge judiciaire ne peut, sans violer le principe de la séparation des pouvoirs, ordonner le remboursement par l'employeur des allocations chômage versées au salarié par Pôle emploi ; qu'en l'espèce, il résulte de l'arrêt que la salariée a été licenciée le 24 novembre 2017 après une autorisation de l'inspecteur du travail, décision contre laquelle elle n'a pas exercé de recours ; qu'en ordonnant cependant le remboursement par l'employeur des allocations chômage payées à la salariée, la cour d'appel a violé le principe de la séparation des pouvoirs, ensemble la loi des 16-24 août 1790, le décret du 16 fructidor an III, et l'article L. 1235-4 du code du travail dans sa rédaction issue de la loi n° 2016-1088 du 8 août 2016. »</w:t>
      </w:r>
    </w:p>
    <w:p w14:paraId="47DC7125" w14:textId="77777777" w:rsidR="00D5203C" w:rsidRDefault="00D5203C">
      <w:pPr>
        <w:spacing w:after="160" w:line="259" w:lineRule="auto"/>
        <w:rPr>
          <w:rFonts w:ascii="-webkit-standard" w:hAnsi="-webkit-standard"/>
          <w:color w:val="000000"/>
        </w:rPr>
      </w:pPr>
      <w:r>
        <w:rPr>
          <w:rFonts w:ascii="-webkit-standard" w:hAnsi="-webkit-standard"/>
          <w:color w:val="000000"/>
        </w:rPr>
        <w:br w:type="page"/>
      </w:r>
    </w:p>
    <w:p w14:paraId="5C84F1BB" w14:textId="5A4AF1FC" w:rsidR="005735DD" w:rsidRDefault="0090388D" w:rsidP="005735DD">
      <w:pPr>
        <w:jc w:val="both"/>
        <w:rPr>
          <w:rFonts w:ascii="-webkit-standard" w:hAnsi="-webkit-standard"/>
          <w:b/>
          <w:bCs/>
          <w:color w:val="000000"/>
        </w:rPr>
      </w:pPr>
      <w:bookmarkStart w:id="0" w:name="_GoBack"/>
      <w:bookmarkEnd w:id="0"/>
      <w:r w:rsidRPr="0090388D">
        <w:rPr>
          <w:rFonts w:ascii="-webkit-standard" w:hAnsi="-webkit-standard"/>
          <w:b/>
          <w:bCs/>
          <w:color w:val="000000"/>
        </w:rPr>
        <w:lastRenderedPageBreak/>
        <w:t>Réponse de la Cour</w:t>
      </w:r>
    </w:p>
    <w:p w14:paraId="45711BD6" w14:textId="780774F0" w:rsidR="005735DD" w:rsidRDefault="0090388D" w:rsidP="005735DD">
      <w:pPr>
        <w:jc w:val="both"/>
        <w:rPr>
          <w:rFonts w:ascii="-webkit-standard" w:hAnsi="-webkit-standard"/>
          <w:color w:val="000000"/>
        </w:rPr>
      </w:pPr>
      <w:r w:rsidRPr="0090388D">
        <w:rPr>
          <w:rFonts w:ascii="-webkit-standard" w:hAnsi="-webkit-standard"/>
          <w:b/>
          <w:bCs/>
          <w:color w:val="000000"/>
        </w:rPr>
        <w:t> </w:t>
      </w:r>
      <w:r w:rsidRPr="0090388D">
        <w:rPr>
          <w:rFonts w:ascii="-webkit-standard" w:hAnsi="-webkit-standard"/>
          <w:color w:val="000000"/>
        </w:rPr>
        <w:br/>
        <w:t>7. L'autorisation de licenciement donnée par l'inspecteur du travail ne fait pas obstacle à ce que le salarié fasse valoir devant les juridictions judiciaires tous les droits résultant de l'origine de l'inaptitude lorsqu'il l'attribue à un manquement de l'employeur à ses obligations. A cet égard, si le juge ne peut, sans violer le principe de la séparation des pouvoirs, se prononcer sur une demande de résiliation judiciaire postérieurement au prononcé du licenciement notifié sur le fondement d'une autorisation administrative de licenciement accordée à l'employeur, il lui appartient, le cas échéant, de faire droit aux demandes de dommages-intérêts au titre de l'absence de cause réelle et sérieuse ou de la nullité du licenciement ainsi que d'ordonner le remboursement par l'employeur aux organismes intéressés des indemnités de chômage.</w:t>
      </w:r>
    </w:p>
    <w:p w14:paraId="4CE31816" w14:textId="3F1FE3C0" w:rsidR="005735DD" w:rsidRDefault="0090388D" w:rsidP="005735DD">
      <w:pPr>
        <w:jc w:val="both"/>
        <w:rPr>
          <w:rFonts w:ascii="-webkit-standard" w:hAnsi="-webkit-standard"/>
          <w:color w:val="000000"/>
        </w:rPr>
      </w:pPr>
      <w:r w:rsidRPr="0090388D">
        <w:rPr>
          <w:rFonts w:ascii="-webkit-standard" w:hAnsi="-webkit-standard"/>
          <w:color w:val="000000"/>
        </w:rPr>
        <w:br/>
        <w:t>8. Ayant constaté que, à la suite du harcèlement moral subi par la salariée ayant rendu impossible la poursuite du contrat de travail, celle-ci avait été licenciée pour inaptitude et impossibilité de reclassement et fait ressortir que cette inaptitude avait pour origine le harcèlement moral dont la salariée avait été victime, la cour d'appel, qui a condamné en conséquence l'employeur à une indemnité pour licenciement nul et à une indemnité compensatrice de préavis ainsi qu'au remboursement des indemnités de chômage, n'encourt pas les griefs du moyen</w:t>
      </w:r>
      <w:r w:rsidR="005735DD">
        <w:rPr>
          <w:rFonts w:ascii="-webkit-standard" w:hAnsi="-webkit-standard"/>
          <w:color w:val="000000"/>
        </w:rPr>
        <w:t>.</w:t>
      </w:r>
    </w:p>
    <w:p w14:paraId="58BB94D0" w14:textId="1AF1E4CC" w:rsidR="005735DD" w:rsidRDefault="0090388D" w:rsidP="005735DD">
      <w:pPr>
        <w:jc w:val="both"/>
        <w:rPr>
          <w:rFonts w:ascii="-webkit-standard" w:hAnsi="-webkit-standard"/>
          <w:color w:val="000000"/>
        </w:rPr>
      </w:pPr>
      <w:r w:rsidRPr="0090388D">
        <w:rPr>
          <w:rFonts w:ascii="-webkit-standard" w:hAnsi="-webkit-standard"/>
          <w:color w:val="000000"/>
        </w:rPr>
        <w:br/>
        <w:t>9. Le moyen n'est donc pas fondé.</w:t>
      </w:r>
    </w:p>
    <w:p w14:paraId="521F373D" w14:textId="77777777" w:rsidR="005735DD" w:rsidRDefault="0090388D" w:rsidP="005735DD">
      <w:pPr>
        <w:jc w:val="both"/>
        <w:rPr>
          <w:rFonts w:ascii="-webkit-standard" w:hAnsi="-webkit-standard"/>
          <w:color w:val="000000"/>
        </w:rPr>
      </w:pPr>
      <w:r w:rsidRPr="0090388D">
        <w:rPr>
          <w:rFonts w:ascii="-webkit-standard" w:hAnsi="-webkit-standard"/>
          <w:color w:val="000000"/>
        </w:rPr>
        <w:br/>
        <w:t>Mais sur le quatrième moyen, pris en sa première branche, en ce qu'il fait grief à l'arrêt de prononcer la résiliation judiciaire du contrat de travail</w:t>
      </w:r>
    </w:p>
    <w:p w14:paraId="4E36B8C7" w14:textId="1296EDC3" w:rsidR="005735DD" w:rsidRDefault="0090388D" w:rsidP="005735DD">
      <w:pPr>
        <w:jc w:val="both"/>
        <w:rPr>
          <w:rFonts w:ascii="-webkit-standard" w:hAnsi="-webkit-standard"/>
          <w:color w:val="000000"/>
        </w:rPr>
      </w:pPr>
      <w:r w:rsidRPr="0090388D">
        <w:rPr>
          <w:rFonts w:ascii="-webkit-standard" w:hAnsi="-webkit-standard"/>
          <w:color w:val="000000"/>
        </w:rPr>
        <w:br/>
        <w:t>Enoncé du moyen</w:t>
      </w:r>
    </w:p>
    <w:p w14:paraId="71F11A2F" w14:textId="77777777" w:rsidR="005735DD" w:rsidRDefault="0090388D" w:rsidP="005735DD">
      <w:pPr>
        <w:jc w:val="both"/>
        <w:rPr>
          <w:rFonts w:ascii="-webkit-standard" w:hAnsi="-webkit-standard"/>
          <w:color w:val="000000"/>
        </w:rPr>
      </w:pPr>
      <w:r w:rsidRPr="0090388D">
        <w:rPr>
          <w:rFonts w:ascii="-webkit-standard" w:hAnsi="-webkit-standard"/>
          <w:color w:val="000000"/>
        </w:rPr>
        <w:br/>
        <w:t>10. La société fait grief à l'arrêt de prononcer la résiliation judiciaire du contrat de travail, alors « que lorsqu'un licenciement a été notifié à la suite d'une autorisation administrative de licenciement, le juge judiciaire ne peut, sans violer le principe de la séparation des pouvoirs, se prononcer sur une demande de résiliation judiciaire formée par le salarié même si sa saisine était antérieure à la rupture ; qu'en l'espèce, il résulte de l'arrêt que la salariée a été licenciée le 24 novembre 2017 après autorisation de l'inspecteur du travail, décision contre laquelle elle n'a pas exercé de recours ; qu'en prononçant cependant la résiliation judiciaire du contrat de travail et en jugeant qu'elle produisait les effets d'une rupture nulle, la cour d'appel a violé le principe de la séparation des pouvoirs, ensemble la loi des 16-24 août 1790 et le décret du 16 fructidor an III. » </w:t>
      </w:r>
    </w:p>
    <w:p w14:paraId="65BBA1F2" w14:textId="77777777" w:rsidR="005735DD" w:rsidRDefault="0090388D" w:rsidP="005735DD">
      <w:pPr>
        <w:jc w:val="both"/>
        <w:rPr>
          <w:rFonts w:ascii="-webkit-standard" w:hAnsi="-webkit-standard"/>
          <w:color w:val="000000"/>
        </w:rPr>
      </w:pPr>
      <w:r w:rsidRPr="0090388D">
        <w:rPr>
          <w:rFonts w:ascii="-webkit-standard" w:hAnsi="-webkit-standard"/>
          <w:color w:val="000000"/>
        </w:rPr>
        <w:br/>
        <w:t>Réponse de la Cour </w:t>
      </w:r>
    </w:p>
    <w:p w14:paraId="7EA3CC25" w14:textId="77777777" w:rsidR="005735DD" w:rsidRDefault="0090388D" w:rsidP="005735DD">
      <w:pPr>
        <w:jc w:val="both"/>
        <w:rPr>
          <w:rFonts w:ascii="-webkit-standard" w:hAnsi="-webkit-standard"/>
          <w:color w:val="000000"/>
        </w:rPr>
      </w:pPr>
      <w:r w:rsidRPr="0090388D">
        <w:rPr>
          <w:rFonts w:ascii="-webkit-standard" w:hAnsi="-webkit-standard"/>
          <w:color w:val="000000"/>
        </w:rPr>
        <w:br/>
        <w:t>Vu la loi des 16-24 août 1790, le décret du 16 fructidor an III et les articles L. 2411-1 du code du travail, dans sa rédaction antérieure à l'ordonnance n° 2017-1386 du 22 septembre 2017, et L. 2411-13 du même code, alors applicable :</w:t>
      </w:r>
    </w:p>
    <w:p w14:paraId="34E41923" w14:textId="77777777" w:rsidR="005735DD" w:rsidRDefault="0090388D" w:rsidP="005735DD">
      <w:pPr>
        <w:jc w:val="both"/>
        <w:rPr>
          <w:rFonts w:ascii="-webkit-standard" w:hAnsi="-webkit-standard"/>
          <w:color w:val="000000"/>
        </w:rPr>
      </w:pPr>
      <w:r w:rsidRPr="0090388D">
        <w:rPr>
          <w:rFonts w:ascii="-webkit-standard" w:hAnsi="-webkit-standard"/>
          <w:color w:val="000000"/>
        </w:rPr>
        <w:br/>
        <w:t>11. Lorsqu'un licenciement a été notifié à la suite d'une autorisation administrative de licenciement accordée à l'employeur, le juge judiciaire ne peut sans violer le principe de la séparation des pouvoirs, se prononcer sur une demande de résiliation judiciaire formée par le salarié même si sa saisine était antérieure à la rupture. </w:t>
      </w:r>
    </w:p>
    <w:p w14:paraId="782767A6" w14:textId="77777777" w:rsidR="005735DD" w:rsidRDefault="0090388D" w:rsidP="005735DD">
      <w:pPr>
        <w:jc w:val="both"/>
        <w:rPr>
          <w:rFonts w:ascii="-webkit-standard" w:hAnsi="-webkit-standard"/>
          <w:color w:val="000000"/>
        </w:rPr>
      </w:pPr>
      <w:r w:rsidRPr="0090388D">
        <w:rPr>
          <w:rFonts w:ascii="-webkit-standard" w:hAnsi="-webkit-standard"/>
          <w:color w:val="000000"/>
        </w:rPr>
        <w:lastRenderedPageBreak/>
        <w:t>12. Pour prononcer la résiliation judiciaire, l'arrêt retient qu'a été reconnu le harcèlement moral dont se plaignait la salariée pour certains des agissements de l'employeur et que la gravité de ce manquement rendait impossible la poursuite du contrat de travail et justifiait la rupture de celui-ci.</w:t>
      </w:r>
    </w:p>
    <w:p w14:paraId="39F46E25" w14:textId="77777777" w:rsidR="005735DD" w:rsidRDefault="0090388D" w:rsidP="005735DD">
      <w:pPr>
        <w:jc w:val="both"/>
        <w:rPr>
          <w:rFonts w:ascii="-webkit-standard" w:hAnsi="-webkit-standard"/>
          <w:color w:val="000000"/>
        </w:rPr>
      </w:pPr>
      <w:r w:rsidRPr="0090388D">
        <w:rPr>
          <w:rFonts w:ascii="-webkit-standard" w:hAnsi="-webkit-standard"/>
          <w:color w:val="000000"/>
        </w:rPr>
        <w:t>13. En statuant ainsi, alors qu'elle avait constaté que le licenciement de la salariée, préalablement autorisé par l'inspecteur du travail, lui avait été notifié par lettre du 24 novembre 2017, la cour d'appel a violé les textes susvisés.</w:t>
      </w:r>
    </w:p>
    <w:p w14:paraId="33FE89AA" w14:textId="77777777" w:rsidR="005735DD" w:rsidRDefault="005735DD" w:rsidP="005735DD">
      <w:pPr>
        <w:jc w:val="both"/>
        <w:rPr>
          <w:rFonts w:ascii="-webkit-standard" w:hAnsi="-webkit-standard"/>
          <w:color w:val="000000"/>
        </w:rPr>
      </w:pPr>
    </w:p>
    <w:p w14:paraId="05D80107" w14:textId="77777777" w:rsidR="005735DD" w:rsidRDefault="0090388D" w:rsidP="005735DD">
      <w:pPr>
        <w:jc w:val="both"/>
        <w:rPr>
          <w:rFonts w:ascii="-webkit-standard" w:hAnsi="-webkit-standard"/>
          <w:color w:val="000000"/>
        </w:rPr>
      </w:pPr>
      <w:r w:rsidRPr="0090388D">
        <w:rPr>
          <w:rFonts w:ascii="-webkit-standard" w:hAnsi="-webkit-standard"/>
          <w:color w:val="000000"/>
        </w:rPr>
        <w:t>Et sur le cinquième moyen, pris en sa deuxième branche </w:t>
      </w:r>
    </w:p>
    <w:p w14:paraId="45303987" w14:textId="77777777" w:rsidR="005735DD" w:rsidRDefault="005735DD" w:rsidP="005735DD">
      <w:pPr>
        <w:jc w:val="both"/>
        <w:rPr>
          <w:rFonts w:ascii="-webkit-standard" w:hAnsi="-webkit-standard"/>
          <w:color w:val="000000"/>
        </w:rPr>
      </w:pPr>
    </w:p>
    <w:p w14:paraId="1F4C76DD" w14:textId="6D345497" w:rsidR="005735DD" w:rsidRDefault="00D42551" w:rsidP="005735DD">
      <w:pPr>
        <w:jc w:val="both"/>
        <w:rPr>
          <w:rFonts w:ascii="-webkit-standard" w:hAnsi="-webkit-standard"/>
          <w:color w:val="000000"/>
        </w:rPr>
      </w:pPr>
      <w:r>
        <w:rPr>
          <w:rFonts w:ascii="-webkit-standard" w:hAnsi="-webkit-standard"/>
          <w:color w:val="000000"/>
        </w:rPr>
        <w:t>[…]</w:t>
      </w:r>
    </w:p>
    <w:p w14:paraId="5CDB2562" w14:textId="77777777" w:rsidR="005735DD" w:rsidRDefault="005735DD" w:rsidP="005735DD">
      <w:pPr>
        <w:jc w:val="both"/>
        <w:rPr>
          <w:rFonts w:ascii="-webkit-standard" w:hAnsi="-webkit-standard"/>
          <w:color w:val="000000"/>
        </w:rPr>
      </w:pPr>
    </w:p>
    <w:p w14:paraId="79EA50ED" w14:textId="41A29B43" w:rsidR="005735DD" w:rsidRDefault="0090388D" w:rsidP="005735DD">
      <w:pPr>
        <w:jc w:val="both"/>
        <w:rPr>
          <w:rFonts w:ascii="-webkit-standard" w:hAnsi="-webkit-standard"/>
          <w:color w:val="000000"/>
        </w:rPr>
      </w:pPr>
      <w:r w:rsidRPr="0090388D">
        <w:rPr>
          <w:rFonts w:ascii="-webkit-standard" w:hAnsi="-webkit-standard"/>
          <w:color w:val="000000"/>
        </w:rPr>
        <w:t>PAR CES MOTIFS, et sans qu'il y ait lieu de statuer sur les autres griefs, la Cour :</w:t>
      </w:r>
    </w:p>
    <w:p w14:paraId="62917703" w14:textId="2B0C28C8" w:rsidR="00D42551" w:rsidRPr="0090388D" w:rsidRDefault="0090388D" w:rsidP="00D42551">
      <w:pPr>
        <w:jc w:val="both"/>
        <w:rPr>
          <w:rFonts w:ascii="-webkit-standard" w:hAnsi="-webkit-standard"/>
          <w:color w:val="000000"/>
        </w:rPr>
      </w:pPr>
      <w:r w:rsidRPr="0090388D">
        <w:rPr>
          <w:rFonts w:ascii="-webkit-standard" w:hAnsi="-webkit-standard"/>
          <w:color w:val="000000"/>
        </w:rPr>
        <w:t xml:space="preserve">CASSE ET ANNULE </w:t>
      </w:r>
      <w:r w:rsidR="00D42551">
        <w:rPr>
          <w:rFonts w:ascii="-webkit-standard" w:hAnsi="-webkit-standard"/>
          <w:color w:val="000000"/>
        </w:rPr>
        <w:t>…</w:t>
      </w:r>
    </w:p>
    <w:p w14:paraId="5BA75FA0" w14:textId="0B9E07D7" w:rsidR="0090388D" w:rsidRPr="0090388D" w:rsidRDefault="0090388D" w:rsidP="005735DD">
      <w:pPr>
        <w:jc w:val="both"/>
        <w:rPr>
          <w:rFonts w:ascii="-webkit-standard" w:hAnsi="-webkit-standard"/>
          <w:b/>
          <w:bCs/>
          <w:color w:val="000000"/>
        </w:rPr>
      </w:pPr>
      <w:r w:rsidRPr="0090388D">
        <w:rPr>
          <w:rFonts w:ascii="-webkit-standard" w:hAnsi="-webkit-standard"/>
          <w:color w:val="000000"/>
        </w:rPr>
        <w:t>Ainsi fait et jugé par la Cour de cassation, chambre sociale, et prononcé par le président en son audience publique du quinze juin deux mille vingt-deux.</w:t>
      </w:r>
      <w:r w:rsidRPr="0090388D">
        <w:rPr>
          <w:rFonts w:ascii="-webkit-standard" w:hAnsi="-webkit-standard"/>
          <w:color w:val="000000"/>
        </w:rPr>
        <w:br/>
      </w:r>
    </w:p>
    <w:p w14:paraId="3823BF49" w14:textId="77777777" w:rsidR="0090388D" w:rsidRPr="006D0A52" w:rsidRDefault="0090388D" w:rsidP="005735DD">
      <w:pPr>
        <w:jc w:val="both"/>
        <w:rPr>
          <w:b/>
          <w:bCs/>
        </w:rPr>
      </w:pPr>
    </w:p>
    <w:sectPr w:rsidR="0090388D" w:rsidRPr="006D0A5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35D6C" w14:textId="77777777" w:rsidR="00A352E2" w:rsidRDefault="00A352E2" w:rsidP="00E811A7">
      <w:r>
        <w:separator/>
      </w:r>
    </w:p>
  </w:endnote>
  <w:endnote w:type="continuationSeparator" w:id="0">
    <w:p w14:paraId="29579870" w14:textId="77777777" w:rsidR="00A352E2" w:rsidRDefault="00A352E2"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5EB6" w14:textId="018C3A55" w:rsidR="00E811A7" w:rsidRDefault="00D42551" w:rsidP="00E811A7">
    <w:pPr>
      <w:pStyle w:val="Pieddepage"/>
      <w:jc w:val="right"/>
    </w:pPr>
    <w:r w:rsidRPr="00982F62">
      <w:t xml:space="preserve">Page </w:t>
    </w:r>
    <w:r w:rsidRPr="00982F62">
      <w:fldChar w:fldCharType="begin"/>
    </w:r>
    <w:r w:rsidRPr="00982F62">
      <w:instrText xml:space="preserve"> PAGE </w:instrText>
    </w:r>
    <w:r w:rsidRPr="00982F62">
      <w:fldChar w:fldCharType="separate"/>
    </w:r>
    <w:r w:rsidR="00D5203C">
      <w:rPr>
        <w:noProof/>
      </w:rPr>
      <w:t>3</w:t>
    </w:r>
    <w:r w:rsidRPr="00982F62">
      <w:fldChar w:fldCharType="end"/>
    </w:r>
    <w:r w:rsidRPr="00982F62">
      <w:t xml:space="preserve"> sur </w:t>
    </w:r>
    <w:fldSimple w:instr=" NUMPAGES ">
      <w:r w:rsidR="00D5203C">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E907B" w14:textId="77777777" w:rsidR="00A352E2" w:rsidRDefault="00A352E2" w:rsidP="00E811A7">
      <w:r>
        <w:separator/>
      </w:r>
    </w:p>
  </w:footnote>
  <w:footnote w:type="continuationSeparator" w:id="0">
    <w:p w14:paraId="54943C86" w14:textId="77777777" w:rsidR="00A352E2" w:rsidRDefault="00A352E2" w:rsidP="00E8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CA8"/>
    <w:multiLevelType w:val="multilevel"/>
    <w:tmpl w:val="CD7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A1BC7"/>
    <w:multiLevelType w:val="multilevel"/>
    <w:tmpl w:val="8B26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33D24"/>
    <w:rsid w:val="00110FE2"/>
    <w:rsid w:val="00240FA2"/>
    <w:rsid w:val="003133A0"/>
    <w:rsid w:val="00325FF0"/>
    <w:rsid w:val="003B417D"/>
    <w:rsid w:val="004F6AF8"/>
    <w:rsid w:val="005735DD"/>
    <w:rsid w:val="00592525"/>
    <w:rsid w:val="006706BC"/>
    <w:rsid w:val="006D0A52"/>
    <w:rsid w:val="006E78FF"/>
    <w:rsid w:val="007E7823"/>
    <w:rsid w:val="00834806"/>
    <w:rsid w:val="00870593"/>
    <w:rsid w:val="0090388D"/>
    <w:rsid w:val="00940555"/>
    <w:rsid w:val="00944A74"/>
    <w:rsid w:val="00982F62"/>
    <w:rsid w:val="00A352E2"/>
    <w:rsid w:val="00A44087"/>
    <w:rsid w:val="00AB6A7C"/>
    <w:rsid w:val="00AE726E"/>
    <w:rsid w:val="00B546FA"/>
    <w:rsid w:val="00BB4C4E"/>
    <w:rsid w:val="00BF393C"/>
    <w:rsid w:val="00C45D80"/>
    <w:rsid w:val="00C62AB8"/>
    <w:rsid w:val="00CD2095"/>
    <w:rsid w:val="00D42551"/>
    <w:rsid w:val="00D5203C"/>
    <w:rsid w:val="00E811A7"/>
    <w:rsid w:val="00EF2DF2"/>
    <w:rsid w:val="00F93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1FF7"/>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uiPriority w:val="9"/>
    <w:qFormat/>
    <w:rsid w:val="0090388D"/>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90388D"/>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90388D"/>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90388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0388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90388D"/>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90388D"/>
    <w:rPr>
      <w:b/>
      <w:bCs/>
    </w:rPr>
  </w:style>
  <w:style w:type="character" w:customStyle="1" w:styleId="apple-converted-space">
    <w:name w:val="apple-converted-space"/>
    <w:basedOn w:val="Policepardfaut"/>
    <w:rsid w:val="0090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1209872824">
      <w:bodyDiv w:val="1"/>
      <w:marLeft w:val="0"/>
      <w:marRight w:val="0"/>
      <w:marTop w:val="0"/>
      <w:marBottom w:val="0"/>
      <w:divBdr>
        <w:top w:val="none" w:sz="0" w:space="0" w:color="auto"/>
        <w:left w:val="none" w:sz="0" w:space="0" w:color="auto"/>
        <w:bottom w:val="none" w:sz="0" w:space="0" w:color="auto"/>
        <w:right w:val="none" w:sz="0" w:space="0" w:color="auto"/>
      </w:divBdr>
    </w:div>
    <w:div w:id="1459302794">
      <w:bodyDiv w:val="1"/>
      <w:marLeft w:val="0"/>
      <w:marRight w:val="0"/>
      <w:marTop w:val="0"/>
      <w:marBottom w:val="0"/>
      <w:divBdr>
        <w:top w:val="none" w:sz="0" w:space="0" w:color="auto"/>
        <w:left w:val="none" w:sz="0" w:space="0" w:color="auto"/>
        <w:bottom w:val="none" w:sz="0" w:space="0" w:color="auto"/>
        <w:right w:val="none" w:sz="0" w:space="0" w:color="auto"/>
      </w:divBdr>
      <w:divsChild>
        <w:div w:id="653997029">
          <w:marLeft w:val="0"/>
          <w:marRight w:val="0"/>
          <w:marTop w:val="0"/>
          <w:marBottom w:val="0"/>
          <w:divBdr>
            <w:top w:val="none" w:sz="0" w:space="0" w:color="auto"/>
            <w:left w:val="none" w:sz="0" w:space="0" w:color="auto"/>
            <w:bottom w:val="none" w:sz="0" w:space="0" w:color="auto"/>
            <w:right w:val="none" w:sz="0" w:space="0" w:color="auto"/>
          </w:divBdr>
          <w:divsChild>
            <w:div w:id="1334718610">
              <w:marLeft w:val="0"/>
              <w:marRight w:val="0"/>
              <w:marTop w:val="0"/>
              <w:marBottom w:val="0"/>
              <w:divBdr>
                <w:top w:val="none" w:sz="0" w:space="0" w:color="auto"/>
                <w:left w:val="none" w:sz="0" w:space="0" w:color="auto"/>
                <w:bottom w:val="none" w:sz="0" w:space="0" w:color="auto"/>
                <w:right w:val="none" w:sz="0" w:space="0" w:color="auto"/>
              </w:divBdr>
            </w:div>
            <w:div w:id="196821608">
              <w:marLeft w:val="0"/>
              <w:marRight w:val="0"/>
              <w:marTop w:val="0"/>
              <w:marBottom w:val="0"/>
              <w:divBdr>
                <w:top w:val="none" w:sz="0" w:space="0" w:color="auto"/>
                <w:left w:val="none" w:sz="0" w:space="0" w:color="auto"/>
                <w:bottom w:val="none" w:sz="0" w:space="0" w:color="auto"/>
                <w:right w:val="none" w:sz="0" w:space="0" w:color="auto"/>
              </w:divBdr>
              <w:divsChild>
                <w:div w:id="18507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7959">
          <w:marLeft w:val="0"/>
          <w:marRight w:val="0"/>
          <w:marTop w:val="0"/>
          <w:marBottom w:val="0"/>
          <w:divBdr>
            <w:top w:val="none" w:sz="0" w:space="0" w:color="auto"/>
            <w:left w:val="none" w:sz="0" w:space="0" w:color="auto"/>
            <w:bottom w:val="none" w:sz="0" w:space="0" w:color="auto"/>
            <w:right w:val="none" w:sz="0" w:space="0" w:color="auto"/>
          </w:divBdr>
          <w:divsChild>
            <w:div w:id="36899108">
              <w:marLeft w:val="0"/>
              <w:marRight w:val="0"/>
              <w:marTop w:val="0"/>
              <w:marBottom w:val="0"/>
              <w:divBdr>
                <w:top w:val="none" w:sz="0" w:space="0" w:color="auto"/>
                <w:left w:val="none" w:sz="0" w:space="0" w:color="auto"/>
                <w:bottom w:val="none" w:sz="0" w:space="0" w:color="auto"/>
                <w:right w:val="none" w:sz="0" w:space="0" w:color="auto"/>
              </w:divBdr>
            </w:div>
            <w:div w:id="1048186043">
              <w:marLeft w:val="0"/>
              <w:marRight w:val="0"/>
              <w:marTop w:val="0"/>
              <w:marBottom w:val="0"/>
              <w:divBdr>
                <w:top w:val="none" w:sz="0" w:space="0" w:color="auto"/>
                <w:left w:val="none" w:sz="0" w:space="0" w:color="auto"/>
                <w:bottom w:val="none" w:sz="0" w:space="0" w:color="auto"/>
                <w:right w:val="none" w:sz="0" w:space="0" w:color="auto"/>
              </w:divBdr>
            </w:div>
          </w:divsChild>
        </w:div>
        <w:div w:id="1918897446">
          <w:marLeft w:val="0"/>
          <w:marRight w:val="0"/>
          <w:marTop w:val="0"/>
          <w:marBottom w:val="0"/>
          <w:divBdr>
            <w:top w:val="none" w:sz="0" w:space="0" w:color="auto"/>
            <w:left w:val="none" w:sz="0" w:space="0" w:color="auto"/>
            <w:bottom w:val="none" w:sz="0" w:space="0" w:color="auto"/>
            <w:right w:val="none" w:sz="0" w:space="0" w:color="auto"/>
          </w:divBdr>
        </w:div>
        <w:div w:id="2074037105">
          <w:marLeft w:val="0"/>
          <w:marRight w:val="0"/>
          <w:marTop w:val="0"/>
          <w:marBottom w:val="0"/>
          <w:divBdr>
            <w:top w:val="none" w:sz="0" w:space="0" w:color="auto"/>
            <w:left w:val="none" w:sz="0" w:space="0" w:color="auto"/>
            <w:bottom w:val="none" w:sz="0" w:space="0" w:color="auto"/>
            <w:right w:val="none" w:sz="0" w:space="0" w:color="auto"/>
          </w:divBdr>
        </w:div>
        <w:div w:id="265894378">
          <w:marLeft w:val="0"/>
          <w:marRight w:val="0"/>
          <w:marTop w:val="0"/>
          <w:marBottom w:val="0"/>
          <w:divBdr>
            <w:top w:val="none" w:sz="0" w:space="0" w:color="auto"/>
            <w:left w:val="none" w:sz="0" w:space="0" w:color="auto"/>
            <w:bottom w:val="none" w:sz="0" w:space="0" w:color="auto"/>
            <w:right w:val="none" w:sz="0" w:space="0" w:color="auto"/>
          </w:divBdr>
          <w:divsChild>
            <w:div w:id="1882470567">
              <w:marLeft w:val="0"/>
              <w:marRight w:val="0"/>
              <w:marTop w:val="0"/>
              <w:marBottom w:val="0"/>
              <w:divBdr>
                <w:top w:val="none" w:sz="0" w:space="0" w:color="auto"/>
                <w:left w:val="none" w:sz="0" w:space="0" w:color="auto"/>
                <w:bottom w:val="none" w:sz="0" w:space="0" w:color="auto"/>
                <w:right w:val="none" w:sz="0" w:space="0" w:color="auto"/>
              </w:divBdr>
            </w:div>
            <w:div w:id="18839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1323</Words>
  <Characters>7282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6</cp:revision>
  <dcterms:created xsi:type="dcterms:W3CDTF">2022-12-02T15:43:00Z</dcterms:created>
  <dcterms:modified xsi:type="dcterms:W3CDTF">2022-12-02T17:33:00Z</dcterms:modified>
</cp:coreProperties>
</file>